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附件1</w:t>
      </w:r>
    </w:p>
    <w:p>
      <w:pPr>
        <w:jc w:val="center"/>
        <w:rPr>
          <w:rFonts w:hint="default" w:ascii="Times New Roman" w:hAnsi="Times New Roman" w:eastAsia="方正小标宋简体" w:cs="Times New Roman"/>
          <w:b w:val="0"/>
          <w:bCs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b w:val="0"/>
          <w:bCs/>
          <w:sz w:val="44"/>
          <w:szCs w:val="44"/>
          <w:lang w:eastAsia="zh-CN"/>
        </w:rPr>
        <w:t>吉林市</w:t>
      </w:r>
      <w:r>
        <w:rPr>
          <w:rFonts w:hint="eastAsia" w:ascii="Times New Roman" w:hAnsi="Times New Roman" w:eastAsia="方正小标宋简体" w:cs="Times New Roman"/>
          <w:b w:val="0"/>
          <w:bCs/>
          <w:sz w:val="44"/>
          <w:szCs w:val="44"/>
          <w:lang w:eastAsia="zh-CN"/>
        </w:rPr>
        <w:t>工业和信息化</w:t>
      </w:r>
      <w:r>
        <w:rPr>
          <w:rFonts w:hint="default" w:ascii="Times New Roman" w:hAnsi="Times New Roman" w:eastAsia="方正小标宋简体" w:cs="Times New Roman"/>
          <w:b w:val="0"/>
          <w:bCs/>
          <w:sz w:val="44"/>
          <w:szCs w:val="44"/>
        </w:rPr>
        <w:t>局行政执法事项清单</w:t>
      </w:r>
    </w:p>
    <w:p>
      <w:pPr>
        <w:rPr>
          <w:rFonts w:hint="default" w:ascii="Times New Roman" w:hAnsi="Times New Roman" w:cs="Times New Roman"/>
          <w:sz w:val="22"/>
          <w:szCs w:val="22"/>
        </w:rPr>
      </w:pPr>
      <w:r>
        <w:rPr>
          <w:rFonts w:hint="default" w:ascii="Times New Roman" w:hAnsi="Times New Roman" w:cs="Times New Roman"/>
          <w:sz w:val="22"/>
          <w:szCs w:val="22"/>
        </w:rPr>
        <w:t xml:space="preserve">填报单位： </w:t>
      </w:r>
      <w:r>
        <w:rPr>
          <w:rFonts w:hint="eastAsia" w:ascii="Times New Roman" w:hAnsi="Times New Roman" w:cs="Times New Roman"/>
          <w:sz w:val="22"/>
          <w:szCs w:val="22"/>
          <w:lang w:eastAsia="zh-CN"/>
        </w:rPr>
        <w:t>吉林市工业和信息化局</w:t>
      </w:r>
      <w:r>
        <w:rPr>
          <w:rFonts w:hint="default" w:ascii="Times New Roman" w:hAnsi="Times New Roman" w:cs="Times New Roman"/>
          <w:sz w:val="22"/>
          <w:szCs w:val="22"/>
        </w:rPr>
        <w:t xml:space="preserve">                                                                                      主要领导签字：</w:t>
      </w:r>
    </w:p>
    <w:tbl>
      <w:tblPr>
        <w:tblStyle w:val="8"/>
        <w:tblW w:w="15656" w:type="dxa"/>
        <w:jc w:val="center"/>
        <w:tblInd w:w="-459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98"/>
        <w:gridCol w:w="1110"/>
        <w:gridCol w:w="630"/>
        <w:gridCol w:w="810"/>
        <w:gridCol w:w="1110"/>
        <w:gridCol w:w="1110"/>
        <w:gridCol w:w="1305"/>
        <w:gridCol w:w="1245"/>
        <w:gridCol w:w="1230"/>
        <w:gridCol w:w="1215"/>
        <w:gridCol w:w="930"/>
        <w:gridCol w:w="698"/>
        <w:gridCol w:w="767"/>
        <w:gridCol w:w="850"/>
        <w:gridCol w:w="1483"/>
        <w:gridCol w:w="565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59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黑体" w:cs="Times New Roman"/>
                <w:b w:val="0"/>
                <w:bCs w:val="0"/>
                <w:color w:val="000000"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color w:val="000000"/>
                <w:kern w:val="0"/>
                <w:sz w:val="16"/>
                <w:szCs w:val="16"/>
              </w:rPr>
              <w:t>项目编码</w:t>
            </w:r>
          </w:p>
        </w:tc>
        <w:tc>
          <w:tcPr>
            <w:tcW w:w="1110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黑体" w:cs="Times New Roman"/>
                <w:b w:val="0"/>
                <w:bCs w:val="0"/>
                <w:color w:val="000000"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color w:val="000000"/>
                <w:kern w:val="0"/>
                <w:sz w:val="16"/>
                <w:szCs w:val="16"/>
              </w:rPr>
              <w:t>项目</w:t>
            </w:r>
            <w:r>
              <w:rPr>
                <w:rFonts w:hint="default" w:ascii="Times New Roman" w:hAnsi="Times New Roman" w:eastAsia="黑体" w:cs="Times New Roman"/>
                <w:b w:val="0"/>
                <w:bCs w:val="0"/>
                <w:color w:val="000000"/>
                <w:kern w:val="0"/>
                <w:sz w:val="16"/>
                <w:szCs w:val="16"/>
              </w:rPr>
              <w:br w:type="textWrapping"/>
            </w:r>
            <w:r>
              <w:rPr>
                <w:rFonts w:hint="default" w:ascii="Times New Roman" w:hAnsi="Times New Roman" w:eastAsia="黑体" w:cs="Times New Roman"/>
                <w:b w:val="0"/>
                <w:bCs w:val="0"/>
                <w:color w:val="000000"/>
                <w:kern w:val="0"/>
                <w:sz w:val="16"/>
                <w:szCs w:val="16"/>
              </w:rPr>
              <w:t>名称</w:t>
            </w:r>
          </w:p>
        </w:tc>
        <w:tc>
          <w:tcPr>
            <w:tcW w:w="630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黑体" w:cs="Times New Roman"/>
                <w:b w:val="0"/>
                <w:bCs w:val="0"/>
                <w:color w:val="000000"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color w:val="000000"/>
                <w:kern w:val="0"/>
                <w:sz w:val="16"/>
                <w:szCs w:val="16"/>
              </w:rPr>
              <w:t>执法</w:t>
            </w:r>
            <w:r>
              <w:rPr>
                <w:rFonts w:hint="default" w:ascii="Times New Roman" w:hAnsi="Times New Roman" w:eastAsia="黑体" w:cs="Times New Roman"/>
                <w:b w:val="0"/>
                <w:bCs w:val="0"/>
                <w:color w:val="000000"/>
                <w:kern w:val="0"/>
                <w:sz w:val="16"/>
                <w:szCs w:val="16"/>
              </w:rPr>
              <w:br w:type="textWrapping"/>
            </w:r>
            <w:r>
              <w:rPr>
                <w:rFonts w:hint="default" w:ascii="Times New Roman" w:hAnsi="Times New Roman" w:eastAsia="黑体" w:cs="Times New Roman"/>
                <w:b w:val="0"/>
                <w:bCs w:val="0"/>
                <w:color w:val="000000"/>
                <w:kern w:val="0"/>
                <w:sz w:val="16"/>
                <w:szCs w:val="16"/>
              </w:rPr>
              <w:t>类别</w:t>
            </w:r>
          </w:p>
        </w:tc>
        <w:tc>
          <w:tcPr>
            <w:tcW w:w="810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黑体" w:cs="Times New Roman"/>
                <w:b w:val="0"/>
                <w:bCs w:val="0"/>
                <w:color w:val="000000"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color w:val="000000"/>
                <w:kern w:val="0"/>
                <w:sz w:val="16"/>
                <w:szCs w:val="16"/>
              </w:rPr>
              <w:t>执法</w:t>
            </w:r>
            <w:r>
              <w:rPr>
                <w:rFonts w:hint="default" w:ascii="Times New Roman" w:hAnsi="Times New Roman" w:eastAsia="黑体" w:cs="Times New Roman"/>
                <w:b w:val="0"/>
                <w:bCs w:val="0"/>
                <w:color w:val="000000"/>
                <w:kern w:val="0"/>
                <w:sz w:val="16"/>
                <w:szCs w:val="16"/>
              </w:rPr>
              <w:br w:type="textWrapping"/>
            </w:r>
            <w:r>
              <w:rPr>
                <w:rFonts w:hint="default" w:ascii="Times New Roman" w:hAnsi="Times New Roman" w:eastAsia="黑体" w:cs="Times New Roman"/>
                <w:b w:val="0"/>
                <w:bCs w:val="0"/>
                <w:color w:val="000000"/>
                <w:kern w:val="0"/>
                <w:sz w:val="16"/>
                <w:szCs w:val="16"/>
              </w:rPr>
              <w:t>主体</w:t>
            </w:r>
          </w:p>
        </w:tc>
        <w:tc>
          <w:tcPr>
            <w:tcW w:w="1110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黑体" w:cs="Times New Roman"/>
                <w:b w:val="0"/>
                <w:bCs w:val="0"/>
                <w:color w:val="000000"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color w:val="000000"/>
                <w:kern w:val="0"/>
                <w:sz w:val="16"/>
                <w:szCs w:val="16"/>
              </w:rPr>
              <w:t>承办</w:t>
            </w:r>
            <w:r>
              <w:rPr>
                <w:rFonts w:hint="default" w:ascii="Times New Roman" w:hAnsi="Times New Roman" w:eastAsia="黑体" w:cs="Times New Roman"/>
                <w:b w:val="0"/>
                <w:bCs w:val="0"/>
                <w:color w:val="000000"/>
                <w:kern w:val="0"/>
                <w:sz w:val="16"/>
                <w:szCs w:val="16"/>
              </w:rPr>
              <w:br w:type="textWrapping"/>
            </w:r>
            <w:r>
              <w:rPr>
                <w:rFonts w:hint="default" w:ascii="Times New Roman" w:hAnsi="Times New Roman" w:eastAsia="黑体" w:cs="Times New Roman"/>
                <w:b w:val="0"/>
                <w:bCs w:val="0"/>
                <w:color w:val="000000"/>
                <w:kern w:val="0"/>
                <w:sz w:val="16"/>
                <w:szCs w:val="16"/>
              </w:rPr>
              <w:t>机构</w:t>
            </w:r>
          </w:p>
        </w:tc>
        <w:tc>
          <w:tcPr>
            <w:tcW w:w="7035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黑体" w:cs="Times New Roman"/>
                <w:b w:val="0"/>
                <w:bCs w:val="0"/>
                <w:color w:val="000000"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color w:val="000000"/>
                <w:kern w:val="0"/>
                <w:sz w:val="16"/>
                <w:szCs w:val="16"/>
              </w:rPr>
              <w:t>执法依据</w:t>
            </w:r>
          </w:p>
        </w:tc>
        <w:tc>
          <w:tcPr>
            <w:tcW w:w="698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黑体" w:cs="Times New Roman"/>
                <w:b w:val="0"/>
                <w:bCs w:val="0"/>
                <w:color w:val="000000"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color w:val="000000"/>
                <w:kern w:val="0"/>
                <w:sz w:val="16"/>
                <w:szCs w:val="16"/>
              </w:rPr>
              <w:t>实施</w:t>
            </w:r>
            <w:r>
              <w:rPr>
                <w:rFonts w:hint="default" w:ascii="Times New Roman" w:hAnsi="Times New Roman" w:eastAsia="黑体" w:cs="Times New Roman"/>
                <w:b w:val="0"/>
                <w:bCs w:val="0"/>
                <w:color w:val="000000"/>
                <w:kern w:val="0"/>
                <w:sz w:val="16"/>
                <w:szCs w:val="16"/>
              </w:rPr>
              <w:br w:type="textWrapping"/>
            </w:r>
            <w:r>
              <w:rPr>
                <w:rFonts w:hint="default" w:ascii="Times New Roman" w:hAnsi="Times New Roman" w:eastAsia="黑体" w:cs="Times New Roman"/>
                <w:b w:val="0"/>
                <w:bCs w:val="0"/>
                <w:color w:val="000000"/>
                <w:kern w:val="0"/>
                <w:sz w:val="16"/>
                <w:szCs w:val="16"/>
              </w:rPr>
              <w:t>对象</w:t>
            </w:r>
          </w:p>
        </w:tc>
        <w:tc>
          <w:tcPr>
            <w:tcW w:w="161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黑体" w:cs="Times New Roman"/>
                <w:b w:val="0"/>
                <w:bCs w:val="0"/>
                <w:color w:val="000000"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color w:val="000000"/>
                <w:kern w:val="0"/>
                <w:sz w:val="16"/>
                <w:szCs w:val="16"/>
              </w:rPr>
              <w:t>办理时限</w:t>
            </w:r>
          </w:p>
        </w:tc>
        <w:tc>
          <w:tcPr>
            <w:tcW w:w="1483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黑体" w:cs="Times New Roman"/>
                <w:b w:val="0"/>
                <w:bCs w:val="0"/>
                <w:color w:val="000000"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color w:val="000000"/>
                <w:kern w:val="0"/>
                <w:sz w:val="16"/>
                <w:szCs w:val="16"/>
              </w:rPr>
              <w:t>收费依据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黑体" w:cs="Times New Roman"/>
                <w:b w:val="0"/>
                <w:bCs w:val="0"/>
                <w:color w:val="000000"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color w:val="000000"/>
                <w:kern w:val="0"/>
                <w:sz w:val="16"/>
                <w:szCs w:val="16"/>
              </w:rPr>
              <w:t>和标准</w:t>
            </w:r>
          </w:p>
        </w:tc>
        <w:tc>
          <w:tcPr>
            <w:tcW w:w="565" w:type="dxa"/>
            <w:vMerge w:val="restart"/>
            <w:tcBorders>
              <w:top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黑体" w:cs="Times New Roman"/>
                <w:b w:val="0"/>
                <w:bCs w:val="0"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kern w:val="0"/>
                <w:sz w:val="16"/>
                <w:szCs w:val="16"/>
              </w:rPr>
              <w:t>备注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59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黑体" w:cs="Times New Roman"/>
                <w:b w:val="0"/>
                <w:bCs w:val="0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110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黑体" w:cs="Times New Roman"/>
                <w:b w:val="0"/>
                <w:bCs w:val="0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630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黑体" w:cs="Times New Roman"/>
                <w:b w:val="0"/>
                <w:bCs w:val="0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810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黑体" w:cs="Times New Roman"/>
                <w:b w:val="0"/>
                <w:bCs w:val="0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110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黑体" w:cs="Times New Roman"/>
                <w:b w:val="0"/>
                <w:bCs w:val="0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1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黑体" w:cs="Times New Roman"/>
                <w:b w:val="0"/>
                <w:bCs w:val="0"/>
                <w:color w:val="000000"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color w:val="000000"/>
                <w:kern w:val="0"/>
                <w:sz w:val="16"/>
                <w:szCs w:val="16"/>
              </w:rPr>
              <w:t>法律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黑体" w:cs="Times New Roman"/>
                <w:b w:val="0"/>
                <w:bCs w:val="0"/>
                <w:color w:val="000000"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color w:val="000000"/>
                <w:kern w:val="0"/>
                <w:sz w:val="16"/>
                <w:szCs w:val="16"/>
              </w:rPr>
              <w:t>行政法规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黑体" w:cs="Times New Roman"/>
                <w:b w:val="0"/>
                <w:bCs w:val="0"/>
                <w:color w:val="000000"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color w:val="000000"/>
                <w:kern w:val="0"/>
                <w:sz w:val="16"/>
                <w:szCs w:val="16"/>
              </w:rPr>
              <w:t>地方性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黑体" w:cs="Times New Roman"/>
                <w:b w:val="0"/>
                <w:bCs w:val="0"/>
                <w:color w:val="000000"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color w:val="000000"/>
                <w:kern w:val="0"/>
                <w:sz w:val="16"/>
                <w:szCs w:val="16"/>
              </w:rPr>
              <w:t>法规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黑体" w:cs="Times New Roman"/>
                <w:b w:val="0"/>
                <w:bCs w:val="0"/>
                <w:color w:val="000000"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color w:val="000000"/>
                <w:kern w:val="0"/>
                <w:sz w:val="16"/>
                <w:szCs w:val="16"/>
              </w:rPr>
              <w:t>部委规章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黑体" w:cs="Times New Roman"/>
                <w:b w:val="0"/>
                <w:bCs w:val="0"/>
                <w:color w:val="000000"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color w:val="000000"/>
                <w:kern w:val="0"/>
                <w:sz w:val="16"/>
                <w:szCs w:val="16"/>
              </w:rPr>
              <w:t>政府规章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黑体" w:cs="Times New Roman"/>
                <w:b w:val="0"/>
                <w:bCs w:val="0"/>
                <w:color w:val="000000"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color w:val="000000"/>
                <w:kern w:val="0"/>
                <w:sz w:val="16"/>
                <w:szCs w:val="16"/>
              </w:rPr>
              <w:t>规范性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黑体" w:cs="Times New Roman"/>
                <w:b w:val="0"/>
                <w:bCs w:val="0"/>
                <w:color w:val="000000"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color w:val="000000"/>
                <w:kern w:val="0"/>
                <w:sz w:val="16"/>
                <w:szCs w:val="16"/>
              </w:rPr>
              <w:t>文件</w:t>
            </w:r>
          </w:p>
        </w:tc>
        <w:tc>
          <w:tcPr>
            <w:tcW w:w="698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黑体" w:cs="Times New Roman"/>
                <w:b w:val="0"/>
                <w:bCs w:val="0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黑体" w:cs="Times New Roman"/>
                <w:b w:val="0"/>
                <w:bCs w:val="0"/>
                <w:color w:val="000000"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color w:val="000000"/>
                <w:kern w:val="0"/>
                <w:sz w:val="16"/>
                <w:szCs w:val="16"/>
              </w:rPr>
              <w:t>法定</w:t>
            </w:r>
            <w:r>
              <w:rPr>
                <w:rFonts w:hint="default" w:ascii="Times New Roman" w:hAnsi="Times New Roman" w:eastAsia="黑体" w:cs="Times New Roman"/>
                <w:b w:val="0"/>
                <w:bCs w:val="0"/>
                <w:color w:val="000000"/>
                <w:kern w:val="0"/>
                <w:sz w:val="16"/>
                <w:szCs w:val="16"/>
              </w:rPr>
              <w:br w:type="textWrapping"/>
            </w:r>
            <w:r>
              <w:rPr>
                <w:rFonts w:hint="default" w:ascii="Times New Roman" w:hAnsi="Times New Roman" w:eastAsia="黑体" w:cs="Times New Roman"/>
                <w:b w:val="0"/>
                <w:bCs w:val="0"/>
                <w:color w:val="000000"/>
                <w:kern w:val="0"/>
                <w:sz w:val="16"/>
                <w:szCs w:val="16"/>
              </w:rPr>
              <w:t>时限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黑体" w:cs="Times New Roman"/>
                <w:b w:val="0"/>
                <w:bCs w:val="0"/>
                <w:color w:val="000000"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color w:val="000000"/>
                <w:kern w:val="0"/>
                <w:sz w:val="16"/>
                <w:szCs w:val="16"/>
              </w:rPr>
              <w:t>承诺</w:t>
            </w:r>
            <w:r>
              <w:rPr>
                <w:rFonts w:hint="default" w:ascii="Times New Roman" w:hAnsi="Times New Roman" w:eastAsia="黑体" w:cs="Times New Roman"/>
                <w:b w:val="0"/>
                <w:bCs w:val="0"/>
                <w:color w:val="000000"/>
                <w:kern w:val="0"/>
                <w:sz w:val="16"/>
                <w:szCs w:val="16"/>
              </w:rPr>
              <w:br w:type="textWrapping"/>
            </w:r>
            <w:r>
              <w:rPr>
                <w:rFonts w:hint="default" w:ascii="Times New Roman" w:hAnsi="Times New Roman" w:eastAsia="黑体" w:cs="Times New Roman"/>
                <w:b w:val="0"/>
                <w:bCs w:val="0"/>
                <w:color w:val="000000"/>
                <w:kern w:val="0"/>
                <w:sz w:val="16"/>
                <w:szCs w:val="16"/>
              </w:rPr>
              <w:t>时限</w:t>
            </w:r>
          </w:p>
        </w:tc>
        <w:tc>
          <w:tcPr>
            <w:tcW w:w="1483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黑体" w:cs="Times New Roman"/>
                <w:b w:val="0"/>
                <w:bCs w:val="0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565" w:type="dxa"/>
            <w:vMerge w:val="continue"/>
            <w:tcBorders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黑体" w:cs="Times New Roman"/>
                <w:b w:val="0"/>
                <w:bCs w:val="0"/>
                <w:kern w:val="0"/>
                <w:sz w:val="16"/>
                <w:szCs w:val="16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0" w:hRule="atLeast"/>
          <w:jc w:val="center"/>
        </w:trPr>
        <w:tc>
          <w:tcPr>
            <w:tcW w:w="5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highlight w:val="none"/>
                <w:lang w:val="en-US" w:eastAsia="zh-CN"/>
              </w:rPr>
              <w:t>1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highlight w:val="none"/>
              </w:rPr>
              <w:t>甘草、麻黄草收购许可证核发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highlight w:val="none"/>
              </w:rPr>
              <w:t>行政许可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highlight w:val="none"/>
                <w:lang w:eastAsia="zh-CN"/>
              </w:rPr>
              <w:t>吉林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highlight w:val="none"/>
              </w:rPr>
              <w:t>市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highlight w:val="none"/>
              </w:rPr>
              <w:br w:type="textWrapping"/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highlight w:val="none"/>
                <w:lang w:eastAsia="zh-CN"/>
              </w:rPr>
              <w:t>工业和信息化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highlight w:val="none"/>
              </w:rPr>
              <w:t>局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highlight w:val="none"/>
                <w:lang w:eastAsia="zh-CN"/>
              </w:rPr>
              <w:t>吉林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highlight w:val="none"/>
              </w:rPr>
              <w:t>市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highlight w:val="none"/>
              </w:rPr>
              <w:br w:type="textWrapping"/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highlight w:val="none"/>
                <w:lang w:eastAsia="zh-CN"/>
              </w:rPr>
              <w:t>工业和信息化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highlight w:val="none"/>
              </w:rPr>
              <w:t>局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highlight w:val="none"/>
              </w:rPr>
            </w:pP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highlight w:val="none"/>
              </w:rPr>
              <w:t>《关于禁止采集和销售发菜、制止滥挖甘草和麻黄草有关问题的通知》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highlight w:val="none"/>
              </w:rPr>
              <w:t xml:space="preserve"> 《国务院关于第三批取消和调整行政审批项目的决定》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highlight w:val="none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highlight w:val="none"/>
              </w:rPr>
            </w:pPr>
          </w:p>
        </w:tc>
        <w:tc>
          <w:tcPr>
            <w:tcW w:w="12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highlight w:val="none"/>
              </w:rPr>
              <w:t>《吉林省人民政府关于取消、下放和保留省级行政许可事项的决定》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highlight w:val="none"/>
              </w:rPr>
            </w:pP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highlight w:val="none"/>
                <w:lang w:val="en-US" w:eastAsia="zh-CN"/>
              </w:rPr>
              <w:t>企业法人</w:t>
            </w:r>
          </w:p>
        </w:tc>
        <w:tc>
          <w:tcPr>
            <w:tcW w:w="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highlight w:val="none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highlight w:val="none"/>
                <w:lang w:val="en-US" w:eastAsia="zh-CN"/>
              </w:rPr>
              <w:t>20个工作日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highlight w:val="none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highlight w:val="none"/>
                <w:lang w:val="en-US" w:eastAsia="zh-CN"/>
              </w:rPr>
              <w:t>20个工作日</w:t>
            </w:r>
          </w:p>
        </w:tc>
        <w:tc>
          <w:tcPr>
            <w:tcW w:w="14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highlight w:val="none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highlight w:val="none"/>
                <w:lang w:eastAsia="zh-CN"/>
              </w:rPr>
              <w:t>不收费</w:t>
            </w:r>
          </w:p>
        </w:tc>
        <w:tc>
          <w:tcPr>
            <w:tcW w:w="565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Times New Roman" w:cs="Times New Roman"/>
                <w:kern w:val="0"/>
                <w:sz w:val="16"/>
                <w:szCs w:val="16"/>
                <w:highlight w:val="none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5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highlight w:val="none"/>
                <w:lang w:val="en-US" w:eastAsia="zh-CN"/>
              </w:rPr>
              <w:t>2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highlight w:val="none"/>
              </w:rPr>
              <w:t>无线电台识别码核发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highlight w:val="none"/>
              </w:rPr>
              <w:t>行政许可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highlight w:val="none"/>
                <w:lang w:eastAsia="zh-CN"/>
              </w:rPr>
              <w:t>吉林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highlight w:val="none"/>
              </w:rPr>
              <w:t>市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highlight w:val="none"/>
              </w:rPr>
              <w:br w:type="textWrapping"/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highlight w:val="none"/>
                <w:lang w:eastAsia="zh-CN"/>
              </w:rPr>
              <w:t>工业和信息化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highlight w:val="none"/>
              </w:rPr>
              <w:t>局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highlight w:val="none"/>
                <w:lang w:eastAsia="zh-CN"/>
              </w:rPr>
              <w:t>吉林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highlight w:val="none"/>
              </w:rPr>
              <w:t>市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highlight w:val="none"/>
              </w:rPr>
              <w:br w:type="textWrapping"/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highlight w:val="none"/>
                <w:lang w:eastAsia="zh-CN"/>
              </w:rPr>
              <w:t>工业和信息化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highlight w:val="none"/>
              </w:rPr>
              <w:t>局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highlight w:val="none"/>
              </w:rPr>
            </w:pP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highlight w:val="none"/>
              </w:rPr>
              <w:t xml:space="preserve">《中华人民共和国无线电管理条例》第三十一条 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highlight w:val="none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highlight w:val="none"/>
              </w:rPr>
            </w:pPr>
          </w:p>
        </w:tc>
        <w:tc>
          <w:tcPr>
            <w:tcW w:w="12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highlight w:val="none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highlight w:val="none"/>
              </w:rPr>
            </w:pP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highlight w:val="none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highlight w:val="none"/>
                <w:lang w:eastAsia="zh-CN"/>
              </w:rPr>
              <w:t>公民、企业法人、社会组织</w:t>
            </w:r>
          </w:p>
        </w:tc>
        <w:tc>
          <w:tcPr>
            <w:tcW w:w="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highlight w:val="none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highlight w:val="none"/>
                <w:lang w:val="en-US" w:eastAsia="zh-CN"/>
              </w:rPr>
              <w:t>10个工作</w:t>
            </w:r>
            <w:bookmarkStart w:id="0" w:name="_GoBack"/>
            <w:bookmarkEnd w:id="0"/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highlight w:val="none"/>
                <w:lang w:val="en-US" w:eastAsia="zh-CN"/>
              </w:rPr>
              <w:t>日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highlight w:val="none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highlight w:val="none"/>
                <w:lang w:val="en-US" w:eastAsia="zh-CN"/>
              </w:rPr>
              <w:t>5个工作日</w:t>
            </w:r>
          </w:p>
        </w:tc>
        <w:tc>
          <w:tcPr>
            <w:tcW w:w="14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highlight w:val="none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highlight w:val="none"/>
                <w:lang w:eastAsia="zh-CN"/>
              </w:rPr>
              <w:t>不收费</w:t>
            </w:r>
          </w:p>
        </w:tc>
        <w:tc>
          <w:tcPr>
            <w:tcW w:w="565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Times New Roman" w:cs="Times New Roman"/>
                <w:kern w:val="0"/>
                <w:sz w:val="16"/>
                <w:szCs w:val="16"/>
                <w:highlight w:val="none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0" w:hRule="atLeast"/>
          <w:jc w:val="center"/>
        </w:trPr>
        <w:tc>
          <w:tcPr>
            <w:tcW w:w="5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highlight w:val="none"/>
                <w:lang w:val="en-US" w:eastAsia="zh-CN"/>
              </w:rPr>
              <w:t>3</w:t>
            </w:r>
          </w:p>
        </w:tc>
        <w:tc>
          <w:tcPr>
            <w:tcW w:w="1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highlight w:val="none"/>
              </w:rPr>
              <w:t>无线电频率使用许可</w:t>
            </w:r>
          </w:p>
        </w:tc>
        <w:tc>
          <w:tcPr>
            <w:tcW w:w="6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highlight w:val="none"/>
              </w:rPr>
              <w:t>行政许可</w:t>
            </w:r>
          </w:p>
        </w:tc>
        <w:tc>
          <w:tcPr>
            <w:tcW w:w="8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highlight w:val="none"/>
                <w:lang w:eastAsia="zh-CN"/>
              </w:rPr>
              <w:t>吉林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highlight w:val="none"/>
              </w:rPr>
              <w:t>市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highlight w:val="none"/>
              </w:rPr>
              <w:br w:type="textWrapping"/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highlight w:val="none"/>
                <w:lang w:eastAsia="zh-CN"/>
              </w:rPr>
              <w:t>工业和信息化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highlight w:val="none"/>
              </w:rPr>
              <w:t>局</w:t>
            </w:r>
          </w:p>
        </w:tc>
        <w:tc>
          <w:tcPr>
            <w:tcW w:w="1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highlight w:val="none"/>
                <w:lang w:eastAsia="zh-CN"/>
              </w:rPr>
              <w:t>吉林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highlight w:val="none"/>
              </w:rPr>
              <w:t>市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highlight w:val="none"/>
              </w:rPr>
              <w:br w:type="textWrapping"/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highlight w:val="none"/>
                <w:lang w:eastAsia="zh-CN"/>
              </w:rPr>
              <w:t>工业和信息化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highlight w:val="none"/>
              </w:rPr>
              <w:t>局</w:t>
            </w:r>
          </w:p>
        </w:tc>
        <w:tc>
          <w:tcPr>
            <w:tcW w:w="1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highlight w:val="none"/>
              </w:rPr>
            </w:pPr>
          </w:p>
        </w:tc>
        <w:tc>
          <w:tcPr>
            <w:tcW w:w="1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 xml:space="preserve">《中华人民共和国无线电管理条例》第十四条  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highlight w:val="none"/>
              </w:rPr>
            </w:pPr>
          </w:p>
        </w:tc>
        <w:tc>
          <w:tcPr>
            <w:tcW w:w="1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《无线电频率使用许可管理办法》</w:t>
            </w:r>
          </w:p>
        </w:tc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highlight w:val="none"/>
              </w:rPr>
            </w:pPr>
          </w:p>
        </w:tc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highlight w:val="none"/>
              </w:rPr>
            </w:pPr>
          </w:p>
        </w:tc>
        <w:tc>
          <w:tcPr>
            <w:tcW w:w="6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highlight w:val="none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highlight w:val="none"/>
                <w:lang w:eastAsia="zh-CN"/>
              </w:rPr>
              <w:t>公民、企业法人、社会组织</w:t>
            </w:r>
          </w:p>
        </w:tc>
        <w:tc>
          <w:tcPr>
            <w:tcW w:w="7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highlight w:val="none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highlight w:val="none"/>
                <w:lang w:val="en-US" w:eastAsia="zh-CN"/>
              </w:rPr>
              <w:t>30个工作日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highlight w:val="none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highlight w:val="none"/>
                <w:lang w:val="en-US" w:eastAsia="zh-CN"/>
              </w:rPr>
              <w:t>10个工作日</w:t>
            </w:r>
          </w:p>
        </w:tc>
        <w:tc>
          <w:tcPr>
            <w:tcW w:w="14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highlight w:val="none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highlight w:val="none"/>
                <w:lang w:eastAsia="zh-CN"/>
              </w:rPr>
              <w:t>不收费</w:t>
            </w:r>
          </w:p>
        </w:tc>
        <w:tc>
          <w:tcPr>
            <w:tcW w:w="565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Times New Roman" w:cs="Times New Roman"/>
                <w:kern w:val="0"/>
                <w:sz w:val="16"/>
                <w:szCs w:val="16"/>
                <w:highlight w:val="none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5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highlight w:val="none"/>
                <w:lang w:val="en-US" w:eastAsia="zh-CN"/>
              </w:rPr>
              <w:t>4</w:t>
            </w:r>
          </w:p>
        </w:tc>
        <w:tc>
          <w:tcPr>
            <w:tcW w:w="11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highlight w:val="none"/>
              </w:rPr>
              <w:t>无线电台（站）的设置、使用许可</w:t>
            </w:r>
          </w:p>
        </w:tc>
        <w:tc>
          <w:tcPr>
            <w:tcW w:w="6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highlight w:val="none"/>
              </w:rPr>
              <w:t>行政许可</w:t>
            </w:r>
          </w:p>
        </w:tc>
        <w:tc>
          <w:tcPr>
            <w:tcW w:w="8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highlight w:val="none"/>
                <w:lang w:eastAsia="zh-CN"/>
              </w:rPr>
              <w:t>吉林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highlight w:val="none"/>
              </w:rPr>
              <w:t>市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highlight w:val="none"/>
              </w:rPr>
              <w:br w:type="textWrapping"/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highlight w:val="none"/>
                <w:lang w:eastAsia="zh-CN"/>
              </w:rPr>
              <w:t>工业和信息化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highlight w:val="none"/>
              </w:rPr>
              <w:t>局</w:t>
            </w:r>
          </w:p>
        </w:tc>
        <w:tc>
          <w:tcPr>
            <w:tcW w:w="11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highlight w:val="none"/>
                <w:lang w:eastAsia="zh-CN"/>
              </w:rPr>
              <w:t>吉林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highlight w:val="none"/>
              </w:rPr>
              <w:t>市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highlight w:val="none"/>
              </w:rPr>
              <w:br w:type="textWrapping"/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highlight w:val="none"/>
                <w:lang w:eastAsia="zh-CN"/>
              </w:rPr>
              <w:t>工业和信息化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highlight w:val="none"/>
              </w:rPr>
              <w:t>局</w:t>
            </w:r>
          </w:p>
        </w:tc>
        <w:tc>
          <w:tcPr>
            <w:tcW w:w="11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highlight w:val="none"/>
              </w:rPr>
            </w:pPr>
          </w:p>
        </w:tc>
        <w:tc>
          <w:tcPr>
            <w:tcW w:w="13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highlight w:val="none"/>
              </w:rPr>
              <w:t>《中华人民共和国无线电管理条例》第二十七条</w:t>
            </w:r>
          </w:p>
        </w:tc>
        <w:tc>
          <w:tcPr>
            <w:tcW w:w="12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highlight w:val="none"/>
              </w:rPr>
            </w:pPr>
          </w:p>
        </w:tc>
        <w:tc>
          <w:tcPr>
            <w:tcW w:w="12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highlight w:val="none"/>
              </w:rPr>
            </w:pPr>
          </w:p>
        </w:tc>
        <w:tc>
          <w:tcPr>
            <w:tcW w:w="12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highlight w:val="none"/>
              </w:rPr>
            </w:pPr>
          </w:p>
        </w:tc>
        <w:tc>
          <w:tcPr>
            <w:tcW w:w="9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highlight w:val="none"/>
              </w:rPr>
            </w:pPr>
          </w:p>
        </w:tc>
        <w:tc>
          <w:tcPr>
            <w:tcW w:w="69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highlight w:val="none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highlight w:val="none"/>
                <w:lang w:eastAsia="zh-CN"/>
              </w:rPr>
              <w:t>公民、企业法人、社会组织</w:t>
            </w:r>
          </w:p>
        </w:tc>
        <w:tc>
          <w:tcPr>
            <w:tcW w:w="7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highlight w:val="none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highlight w:val="none"/>
                <w:lang w:val="en-US" w:eastAsia="zh-CN"/>
              </w:rPr>
              <w:t>30个工作日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highlight w:val="none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highlight w:val="none"/>
                <w:lang w:val="en-US" w:eastAsia="zh-CN"/>
              </w:rPr>
              <w:t>10个工作日</w:t>
            </w:r>
          </w:p>
        </w:tc>
        <w:tc>
          <w:tcPr>
            <w:tcW w:w="14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highlight w:val="none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highlight w:val="none"/>
                <w:lang w:eastAsia="zh-CN"/>
              </w:rPr>
              <w:t>不收费</w:t>
            </w:r>
          </w:p>
        </w:tc>
        <w:tc>
          <w:tcPr>
            <w:tcW w:w="565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Times New Roman" w:cs="Times New Roman"/>
                <w:kern w:val="0"/>
                <w:sz w:val="16"/>
                <w:szCs w:val="16"/>
                <w:highlight w:val="none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5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highlight w:val="none"/>
                <w:lang w:val="en-US" w:eastAsia="zh-CN"/>
              </w:rPr>
              <w:t>5</w:t>
            </w:r>
          </w:p>
        </w:tc>
        <w:tc>
          <w:tcPr>
            <w:tcW w:w="1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highlight w:val="none"/>
              </w:rPr>
              <w:t>市级企业技术中心认定</w:t>
            </w:r>
          </w:p>
        </w:tc>
        <w:tc>
          <w:tcPr>
            <w:tcW w:w="6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highlight w:val="none"/>
              </w:rPr>
              <w:t>行政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highlight w:val="none"/>
                <w:lang w:eastAsia="zh-CN"/>
              </w:rPr>
              <w:t>确认</w:t>
            </w:r>
          </w:p>
        </w:tc>
        <w:tc>
          <w:tcPr>
            <w:tcW w:w="8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highlight w:val="none"/>
                <w:lang w:eastAsia="zh-CN"/>
              </w:rPr>
              <w:t>吉林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highlight w:val="none"/>
              </w:rPr>
              <w:t>市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highlight w:val="none"/>
              </w:rPr>
              <w:br w:type="textWrapping"/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highlight w:val="none"/>
                <w:lang w:eastAsia="zh-CN"/>
              </w:rPr>
              <w:t>工业和信息化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highlight w:val="none"/>
              </w:rPr>
              <w:t>局</w:t>
            </w:r>
          </w:p>
        </w:tc>
        <w:tc>
          <w:tcPr>
            <w:tcW w:w="1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highlight w:val="none"/>
                <w:lang w:eastAsia="zh-CN"/>
              </w:rPr>
              <w:t>吉林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highlight w:val="none"/>
              </w:rPr>
              <w:t>市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highlight w:val="none"/>
              </w:rPr>
              <w:br w:type="textWrapping"/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highlight w:val="none"/>
                <w:lang w:eastAsia="zh-CN"/>
              </w:rPr>
              <w:t>工业和信息化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highlight w:val="none"/>
              </w:rPr>
              <w:t>局</w:t>
            </w:r>
          </w:p>
        </w:tc>
        <w:tc>
          <w:tcPr>
            <w:tcW w:w="1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highlight w:val="none"/>
              </w:rPr>
            </w:pPr>
          </w:p>
        </w:tc>
        <w:tc>
          <w:tcPr>
            <w:tcW w:w="1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highlight w:val="none"/>
              </w:rPr>
            </w:pP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highlight w:val="none"/>
              </w:rPr>
            </w:pPr>
          </w:p>
        </w:tc>
        <w:tc>
          <w:tcPr>
            <w:tcW w:w="1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highlight w:val="none"/>
              </w:rPr>
              <w:t>《国家认定企业技术中心管理办法》第二十七条</w:t>
            </w:r>
          </w:p>
        </w:tc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highlight w:val="none"/>
              </w:rPr>
            </w:pPr>
          </w:p>
        </w:tc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highlight w:val="none"/>
              </w:rPr>
            </w:pPr>
          </w:p>
        </w:tc>
        <w:tc>
          <w:tcPr>
            <w:tcW w:w="6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highlight w:val="none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highlight w:val="none"/>
                <w:lang w:eastAsia="zh-CN"/>
              </w:rPr>
              <w:t>企业法人</w:t>
            </w:r>
          </w:p>
        </w:tc>
        <w:tc>
          <w:tcPr>
            <w:tcW w:w="7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highlight w:val="none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highlight w:val="none"/>
              </w:rPr>
            </w:pPr>
          </w:p>
        </w:tc>
        <w:tc>
          <w:tcPr>
            <w:tcW w:w="14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highlight w:val="none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highlight w:val="none"/>
                <w:lang w:eastAsia="zh-CN"/>
              </w:rPr>
              <w:t>不收费</w:t>
            </w:r>
          </w:p>
        </w:tc>
        <w:tc>
          <w:tcPr>
            <w:tcW w:w="565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Times New Roman" w:cs="Times New Roman"/>
                <w:kern w:val="0"/>
                <w:sz w:val="16"/>
                <w:szCs w:val="16"/>
                <w:highlight w:val="none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5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highlight w:val="none"/>
                <w:lang w:val="en-US" w:eastAsia="zh-CN"/>
              </w:rPr>
              <w:t>6</w:t>
            </w:r>
          </w:p>
        </w:tc>
        <w:tc>
          <w:tcPr>
            <w:tcW w:w="11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highlight w:val="none"/>
              </w:rPr>
              <w:t>无线电频率占用费征收</w:t>
            </w:r>
          </w:p>
        </w:tc>
        <w:tc>
          <w:tcPr>
            <w:tcW w:w="6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highlight w:val="none"/>
              </w:rPr>
              <w:t>行政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highlight w:val="none"/>
                <w:lang w:eastAsia="zh-CN"/>
              </w:rPr>
              <w:t>征收</w:t>
            </w:r>
          </w:p>
        </w:tc>
        <w:tc>
          <w:tcPr>
            <w:tcW w:w="8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highlight w:val="none"/>
                <w:lang w:eastAsia="zh-CN"/>
              </w:rPr>
              <w:t>吉林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highlight w:val="none"/>
              </w:rPr>
              <w:t>市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highlight w:val="none"/>
              </w:rPr>
              <w:br w:type="textWrapping"/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highlight w:val="none"/>
                <w:lang w:eastAsia="zh-CN"/>
              </w:rPr>
              <w:t>工业和信息化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highlight w:val="none"/>
              </w:rPr>
              <w:t>局</w:t>
            </w:r>
          </w:p>
        </w:tc>
        <w:tc>
          <w:tcPr>
            <w:tcW w:w="11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highlight w:val="none"/>
                <w:lang w:eastAsia="zh-CN"/>
              </w:rPr>
              <w:t>吉林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highlight w:val="none"/>
              </w:rPr>
              <w:t>市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highlight w:val="none"/>
              </w:rPr>
              <w:br w:type="textWrapping"/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highlight w:val="none"/>
                <w:lang w:eastAsia="zh-CN"/>
              </w:rPr>
              <w:t>工业和信息化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highlight w:val="none"/>
              </w:rPr>
              <w:t>局</w:t>
            </w:r>
          </w:p>
        </w:tc>
        <w:tc>
          <w:tcPr>
            <w:tcW w:w="11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highlight w:val="none"/>
              </w:rPr>
            </w:pPr>
          </w:p>
        </w:tc>
        <w:tc>
          <w:tcPr>
            <w:tcW w:w="13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highlight w:val="none"/>
              </w:rPr>
              <w:t>《中华人民共和国无线电管理条例》）第三章 频率管理 第二十一条</w:t>
            </w:r>
          </w:p>
        </w:tc>
        <w:tc>
          <w:tcPr>
            <w:tcW w:w="12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highlight w:val="none"/>
              </w:rPr>
            </w:pPr>
          </w:p>
        </w:tc>
        <w:tc>
          <w:tcPr>
            <w:tcW w:w="12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highlight w:val="none"/>
              </w:rPr>
            </w:pPr>
          </w:p>
        </w:tc>
        <w:tc>
          <w:tcPr>
            <w:tcW w:w="12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highlight w:val="none"/>
              </w:rPr>
            </w:pPr>
          </w:p>
        </w:tc>
        <w:tc>
          <w:tcPr>
            <w:tcW w:w="9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highlight w:val="none"/>
              </w:rPr>
            </w:pPr>
          </w:p>
        </w:tc>
        <w:tc>
          <w:tcPr>
            <w:tcW w:w="69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highlight w:val="none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highlight w:val="none"/>
                <w:lang w:eastAsia="zh-CN"/>
              </w:rPr>
              <w:t>公民、企业法人、社会组织</w:t>
            </w:r>
          </w:p>
        </w:tc>
        <w:tc>
          <w:tcPr>
            <w:tcW w:w="7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highlight w:val="none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highlight w:val="none"/>
              </w:rPr>
            </w:pPr>
          </w:p>
        </w:tc>
        <w:tc>
          <w:tcPr>
            <w:tcW w:w="14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highlight w:val="none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highlight w:val="none"/>
                <w:lang w:eastAsia="zh-CN"/>
              </w:rPr>
              <w:t>不收费</w:t>
            </w:r>
          </w:p>
        </w:tc>
        <w:tc>
          <w:tcPr>
            <w:tcW w:w="565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Times New Roman" w:cs="Times New Roman"/>
                <w:kern w:val="0"/>
                <w:sz w:val="16"/>
                <w:szCs w:val="16"/>
                <w:highlight w:val="none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5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highlight w:val="none"/>
                <w:lang w:val="en-US" w:eastAsia="zh-CN"/>
              </w:rPr>
              <w:t>7</w:t>
            </w:r>
          </w:p>
        </w:tc>
        <w:tc>
          <w:tcPr>
            <w:tcW w:w="1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highlight w:val="none"/>
              </w:rPr>
              <w:t>对从事无线电违法行为的处罚</w:t>
            </w:r>
          </w:p>
        </w:tc>
        <w:tc>
          <w:tcPr>
            <w:tcW w:w="6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highlight w:val="none"/>
              </w:rPr>
              <w:t>行政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highlight w:val="none"/>
                <w:lang w:eastAsia="zh-CN"/>
              </w:rPr>
              <w:t>处罚</w:t>
            </w:r>
          </w:p>
        </w:tc>
        <w:tc>
          <w:tcPr>
            <w:tcW w:w="8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highlight w:val="none"/>
                <w:lang w:eastAsia="zh-CN"/>
              </w:rPr>
              <w:t>吉林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highlight w:val="none"/>
              </w:rPr>
              <w:t>市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highlight w:val="none"/>
              </w:rPr>
              <w:br w:type="textWrapping"/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highlight w:val="none"/>
                <w:lang w:eastAsia="zh-CN"/>
              </w:rPr>
              <w:t>工业和信息化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highlight w:val="none"/>
              </w:rPr>
              <w:t>局</w:t>
            </w:r>
          </w:p>
        </w:tc>
        <w:tc>
          <w:tcPr>
            <w:tcW w:w="1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highlight w:val="none"/>
                <w:lang w:eastAsia="zh-CN"/>
              </w:rPr>
              <w:t>吉林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highlight w:val="none"/>
              </w:rPr>
              <w:t>市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highlight w:val="none"/>
              </w:rPr>
              <w:br w:type="textWrapping"/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highlight w:val="none"/>
                <w:lang w:eastAsia="zh-CN"/>
              </w:rPr>
              <w:t>工业和信息化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highlight w:val="none"/>
              </w:rPr>
              <w:t>局</w:t>
            </w:r>
          </w:p>
        </w:tc>
        <w:tc>
          <w:tcPr>
            <w:tcW w:w="1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highlight w:val="none"/>
              </w:rPr>
            </w:pPr>
          </w:p>
        </w:tc>
        <w:tc>
          <w:tcPr>
            <w:tcW w:w="1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highlight w:val="none"/>
              </w:rPr>
              <w:t>《中华人民共和国无线电管理条例》第四十三条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highlight w:val="none"/>
              </w:rPr>
            </w:pPr>
          </w:p>
        </w:tc>
        <w:tc>
          <w:tcPr>
            <w:tcW w:w="1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highlight w:val="none"/>
              </w:rPr>
            </w:pPr>
          </w:p>
        </w:tc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highlight w:val="none"/>
              </w:rPr>
            </w:pPr>
          </w:p>
        </w:tc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highlight w:val="none"/>
              </w:rPr>
            </w:pPr>
          </w:p>
        </w:tc>
        <w:tc>
          <w:tcPr>
            <w:tcW w:w="6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highlight w:val="none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highlight w:val="none"/>
                <w:lang w:eastAsia="zh-CN"/>
              </w:rPr>
              <w:t>公民、企业法人、社会组织</w:t>
            </w:r>
          </w:p>
        </w:tc>
        <w:tc>
          <w:tcPr>
            <w:tcW w:w="7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highlight w:val="none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highlight w:val="none"/>
              </w:rPr>
            </w:pPr>
          </w:p>
        </w:tc>
        <w:tc>
          <w:tcPr>
            <w:tcW w:w="14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highlight w:val="none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highlight w:val="none"/>
                <w:lang w:eastAsia="zh-CN"/>
              </w:rPr>
              <w:t>不收费</w:t>
            </w:r>
          </w:p>
        </w:tc>
        <w:tc>
          <w:tcPr>
            <w:tcW w:w="5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Times New Roman" w:cs="Times New Roman"/>
                <w:kern w:val="0"/>
                <w:sz w:val="16"/>
                <w:szCs w:val="16"/>
                <w:highlight w:val="none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5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highlight w:val="none"/>
                <w:lang w:val="en-US" w:eastAsia="zh-CN"/>
              </w:rPr>
              <w:t>8</w:t>
            </w:r>
          </w:p>
        </w:tc>
        <w:tc>
          <w:tcPr>
            <w:tcW w:w="11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highlight w:val="none"/>
              </w:rPr>
              <w:t>对违反无线电管制命令和指令的处罚</w:t>
            </w:r>
          </w:p>
        </w:tc>
        <w:tc>
          <w:tcPr>
            <w:tcW w:w="6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highlight w:val="none"/>
              </w:rPr>
              <w:t>行政处罚</w:t>
            </w:r>
          </w:p>
        </w:tc>
        <w:tc>
          <w:tcPr>
            <w:tcW w:w="8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highlight w:val="none"/>
                <w:lang w:eastAsia="zh-CN"/>
              </w:rPr>
              <w:t>吉林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highlight w:val="none"/>
              </w:rPr>
              <w:t>市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highlight w:val="none"/>
              </w:rPr>
              <w:br w:type="textWrapping"/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highlight w:val="none"/>
                <w:lang w:eastAsia="zh-CN"/>
              </w:rPr>
              <w:t>工业和信息化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highlight w:val="none"/>
              </w:rPr>
              <w:t>局</w:t>
            </w:r>
          </w:p>
        </w:tc>
        <w:tc>
          <w:tcPr>
            <w:tcW w:w="11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highlight w:val="none"/>
                <w:lang w:eastAsia="zh-CN"/>
              </w:rPr>
              <w:t>吉林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highlight w:val="none"/>
              </w:rPr>
              <w:t>市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highlight w:val="none"/>
              </w:rPr>
              <w:br w:type="textWrapping"/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highlight w:val="none"/>
                <w:lang w:eastAsia="zh-CN"/>
              </w:rPr>
              <w:t>工业和信息化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highlight w:val="none"/>
              </w:rPr>
              <w:t>局</w:t>
            </w:r>
          </w:p>
        </w:tc>
        <w:tc>
          <w:tcPr>
            <w:tcW w:w="11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highlight w:val="none"/>
              </w:rPr>
            </w:pPr>
          </w:p>
        </w:tc>
        <w:tc>
          <w:tcPr>
            <w:tcW w:w="13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highlight w:val="none"/>
              </w:rPr>
              <w:t>《中华人民共和国无线电管制规定》第十二条</w:t>
            </w:r>
          </w:p>
        </w:tc>
        <w:tc>
          <w:tcPr>
            <w:tcW w:w="12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highlight w:val="none"/>
              </w:rPr>
            </w:pPr>
          </w:p>
        </w:tc>
        <w:tc>
          <w:tcPr>
            <w:tcW w:w="12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highlight w:val="none"/>
                <w:lang w:eastAsia="zh-CN"/>
              </w:rPr>
            </w:pPr>
          </w:p>
        </w:tc>
        <w:tc>
          <w:tcPr>
            <w:tcW w:w="12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highlight w:val="none"/>
              </w:rPr>
            </w:pPr>
          </w:p>
        </w:tc>
        <w:tc>
          <w:tcPr>
            <w:tcW w:w="9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highlight w:val="none"/>
              </w:rPr>
            </w:pPr>
          </w:p>
        </w:tc>
        <w:tc>
          <w:tcPr>
            <w:tcW w:w="69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highlight w:val="none"/>
                <w:lang w:eastAsia="zh-CN"/>
              </w:rPr>
              <w:t>社会组织</w:t>
            </w:r>
          </w:p>
        </w:tc>
        <w:tc>
          <w:tcPr>
            <w:tcW w:w="7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highlight w:val="none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highlight w:val="none"/>
              </w:rPr>
            </w:pPr>
          </w:p>
        </w:tc>
        <w:tc>
          <w:tcPr>
            <w:tcW w:w="14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highlight w:val="none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highlight w:val="none"/>
                <w:lang w:eastAsia="zh-CN"/>
              </w:rPr>
              <w:t>不收费</w:t>
            </w:r>
          </w:p>
        </w:tc>
        <w:tc>
          <w:tcPr>
            <w:tcW w:w="565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Times New Roman" w:cs="Times New Roman"/>
                <w:kern w:val="0"/>
                <w:sz w:val="16"/>
                <w:szCs w:val="16"/>
                <w:highlight w:val="none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5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highlight w:val="none"/>
                <w:lang w:val="en-US" w:eastAsia="zh-CN"/>
              </w:rPr>
              <w:t>9</w:t>
            </w:r>
          </w:p>
        </w:tc>
        <w:tc>
          <w:tcPr>
            <w:tcW w:w="11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highlight w:val="none"/>
              </w:rPr>
              <w:t>对未取得相应资质，从事计算机信息系统集成和监理业务行为的处罚</w:t>
            </w:r>
          </w:p>
        </w:tc>
        <w:tc>
          <w:tcPr>
            <w:tcW w:w="6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highlight w:val="none"/>
              </w:rPr>
              <w:t>行政处罚</w:t>
            </w:r>
          </w:p>
        </w:tc>
        <w:tc>
          <w:tcPr>
            <w:tcW w:w="8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highlight w:val="none"/>
                <w:lang w:eastAsia="zh-CN"/>
              </w:rPr>
              <w:t>吉林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highlight w:val="none"/>
              </w:rPr>
              <w:t>市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highlight w:val="none"/>
              </w:rPr>
              <w:br w:type="textWrapping"/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highlight w:val="none"/>
                <w:lang w:eastAsia="zh-CN"/>
              </w:rPr>
              <w:t>工业和信息化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highlight w:val="none"/>
              </w:rPr>
              <w:t>局</w:t>
            </w:r>
          </w:p>
        </w:tc>
        <w:tc>
          <w:tcPr>
            <w:tcW w:w="11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highlight w:val="none"/>
                <w:lang w:eastAsia="zh-CN"/>
              </w:rPr>
              <w:t>吉林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highlight w:val="none"/>
              </w:rPr>
              <w:t>市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highlight w:val="none"/>
              </w:rPr>
              <w:br w:type="textWrapping"/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highlight w:val="none"/>
                <w:lang w:eastAsia="zh-CN"/>
              </w:rPr>
              <w:t>工业和信息化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highlight w:val="none"/>
              </w:rPr>
              <w:t>局</w:t>
            </w:r>
          </w:p>
        </w:tc>
        <w:tc>
          <w:tcPr>
            <w:tcW w:w="11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highlight w:val="none"/>
              </w:rPr>
            </w:pPr>
          </w:p>
        </w:tc>
        <w:tc>
          <w:tcPr>
            <w:tcW w:w="13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highlight w:val="none"/>
              </w:rPr>
            </w:pPr>
          </w:p>
        </w:tc>
        <w:tc>
          <w:tcPr>
            <w:tcW w:w="12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highlight w:val="none"/>
              </w:rPr>
              <w:t>《吉林省信息化促进条例》第七章 法律责任 第四十九条</w:t>
            </w:r>
          </w:p>
        </w:tc>
        <w:tc>
          <w:tcPr>
            <w:tcW w:w="12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highlight w:val="none"/>
              </w:rPr>
            </w:pPr>
          </w:p>
        </w:tc>
        <w:tc>
          <w:tcPr>
            <w:tcW w:w="12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highlight w:val="none"/>
              </w:rPr>
            </w:pPr>
          </w:p>
        </w:tc>
        <w:tc>
          <w:tcPr>
            <w:tcW w:w="9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highlight w:val="none"/>
              </w:rPr>
            </w:pPr>
          </w:p>
        </w:tc>
        <w:tc>
          <w:tcPr>
            <w:tcW w:w="69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highlight w:val="none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highlight w:val="none"/>
                <w:lang w:eastAsia="zh-CN"/>
              </w:rPr>
              <w:t>公民企业法人</w:t>
            </w:r>
          </w:p>
        </w:tc>
        <w:tc>
          <w:tcPr>
            <w:tcW w:w="7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highlight w:val="none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highlight w:val="none"/>
              </w:rPr>
            </w:pPr>
          </w:p>
        </w:tc>
        <w:tc>
          <w:tcPr>
            <w:tcW w:w="14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highlight w:val="none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highlight w:val="none"/>
                <w:lang w:eastAsia="zh-CN"/>
              </w:rPr>
              <w:t>不收费</w:t>
            </w:r>
          </w:p>
        </w:tc>
        <w:tc>
          <w:tcPr>
            <w:tcW w:w="565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Times New Roman" w:cs="Times New Roman"/>
                <w:kern w:val="0"/>
                <w:sz w:val="16"/>
                <w:szCs w:val="16"/>
                <w:highlight w:val="none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5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highlight w:val="none"/>
                <w:lang w:val="en-US" w:eastAsia="zh-CN"/>
              </w:rPr>
              <w:t>10</w:t>
            </w:r>
          </w:p>
        </w:tc>
        <w:tc>
          <w:tcPr>
            <w:tcW w:w="11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highlight w:val="none"/>
              </w:rPr>
              <w:t>无线电干扰及设备使用的监（检）测</w:t>
            </w:r>
          </w:p>
        </w:tc>
        <w:tc>
          <w:tcPr>
            <w:tcW w:w="6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highlight w:val="none"/>
              </w:rPr>
              <w:t>行政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highlight w:val="none"/>
                <w:lang w:eastAsia="zh-CN"/>
              </w:rPr>
              <w:t>检查</w:t>
            </w:r>
          </w:p>
        </w:tc>
        <w:tc>
          <w:tcPr>
            <w:tcW w:w="8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highlight w:val="none"/>
                <w:lang w:eastAsia="zh-CN"/>
              </w:rPr>
              <w:t>吉林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highlight w:val="none"/>
              </w:rPr>
              <w:t>市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highlight w:val="none"/>
              </w:rPr>
              <w:br w:type="textWrapping"/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highlight w:val="none"/>
                <w:lang w:eastAsia="zh-CN"/>
              </w:rPr>
              <w:t>工业和信息化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highlight w:val="none"/>
              </w:rPr>
              <w:t>局</w:t>
            </w:r>
          </w:p>
        </w:tc>
        <w:tc>
          <w:tcPr>
            <w:tcW w:w="11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highlight w:val="none"/>
                <w:lang w:eastAsia="zh-CN"/>
              </w:rPr>
              <w:t>吉林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highlight w:val="none"/>
              </w:rPr>
              <w:t>市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highlight w:val="none"/>
              </w:rPr>
              <w:br w:type="textWrapping"/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highlight w:val="none"/>
                <w:lang w:eastAsia="zh-CN"/>
              </w:rPr>
              <w:t>工业和信息化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highlight w:val="none"/>
              </w:rPr>
              <w:t>局</w:t>
            </w:r>
          </w:p>
        </w:tc>
        <w:tc>
          <w:tcPr>
            <w:tcW w:w="11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highlight w:val="none"/>
              </w:rPr>
            </w:pPr>
          </w:p>
        </w:tc>
        <w:tc>
          <w:tcPr>
            <w:tcW w:w="13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highlight w:val="none"/>
              </w:rPr>
              <w:t>《中华人民共和国无线电管理条例》第二章第八条</w:t>
            </w:r>
          </w:p>
        </w:tc>
        <w:tc>
          <w:tcPr>
            <w:tcW w:w="12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highlight w:val="none"/>
              </w:rPr>
            </w:pPr>
          </w:p>
        </w:tc>
        <w:tc>
          <w:tcPr>
            <w:tcW w:w="12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highlight w:val="none"/>
              </w:rPr>
            </w:pPr>
          </w:p>
        </w:tc>
        <w:tc>
          <w:tcPr>
            <w:tcW w:w="12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highlight w:val="none"/>
              </w:rPr>
            </w:pPr>
          </w:p>
        </w:tc>
        <w:tc>
          <w:tcPr>
            <w:tcW w:w="9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highlight w:val="none"/>
              </w:rPr>
            </w:pPr>
          </w:p>
        </w:tc>
        <w:tc>
          <w:tcPr>
            <w:tcW w:w="69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highlight w:val="none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highlight w:val="none"/>
                <w:lang w:eastAsia="zh-CN"/>
              </w:rPr>
              <w:t>公民、企业法人、社会组织</w:t>
            </w:r>
          </w:p>
        </w:tc>
        <w:tc>
          <w:tcPr>
            <w:tcW w:w="7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highlight w:val="none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highlight w:val="none"/>
              </w:rPr>
            </w:pPr>
          </w:p>
        </w:tc>
        <w:tc>
          <w:tcPr>
            <w:tcW w:w="14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highlight w:val="none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highlight w:val="none"/>
                <w:lang w:eastAsia="zh-CN"/>
              </w:rPr>
              <w:t>不收费</w:t>
            </w:r>
          </w:p>
        </w:tc>
        <w:tc>
          <w:tcPr>
            <w:tcW w:w="565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Times New Roman" w:cs="Times New Roman"/>
                <w:kern w:val="0"/>
                <w:sz w:val="16"/>
                <w:szCs w:val="16"/>
                <w:highlight w:val="none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5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highlight w:val="none"/>
                <w:lang w:val="en-US" w:eastAsia="zh-CN"/>
              </w:rPr>
              <w:t>11</w:t>
            </w:r>
          </w:p>
        </w:tc>
        <w:tc>
          <w:tcPr>
            <w:tcW w:w="11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highlight w:val="none"/>
              </w:rPr>
              <w:t>民用爆炸物品安全生产许可初审</w:t>
            </w:r>
          </w:p>
        </w:tc>
        <w:tc>
          <w:tcPr>
            <w:tcW w:w="6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highlight w:val="none"/>
              </w:rPr>
              <w:t>行政许可</w:t>
            </w:r>
          </w:p>
        </w:tc>
        <w:tc>
          <w:tcPr>
            <w:tcW w:w="8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highlight w:val="none"/>
                <w:lang w:eastAsia="zh-CN"/>
              </w:rPr>
              <w:t>吉林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highlight w:val="none"/>
              </w:rPr>
              <w:t>市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highlight w:val="none"/>
              </w:rPr>
              <w:br w:type="textWrapping"/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highlight w:val="none"/>
                <w:lang w:eastAsia="zh-CN"/>
              </w:rPr>
              <w:t>工业和信息化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highlight w:val="none"/>
              </w:rPr>
              <w:t>局</w:t>
            </w:r>
          </w:p>
        </w:tc>
        <w:tc>
          <w:tcPr>
            <w:tcW w:w="11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highlight w:val="none"/>
                <w:lang w:eastAsia="zh-CN"/>
              </w:rPr>
              <w:t>吉林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highlight w:val="none"/>
              </w:rPr>
              <w:t>市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highlight w:val="none"/>
              </w:rPr>
              <w:br w:type="textWrapping"/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highlight w:val="none"/>
                <w:lang w:eastAsia="zh-CN"/>
              </w:rPr>
              <w:t>工业和信息化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highlight w:val="none"/>
              </w:rPr>
              <w:t>局</w:t>
            </w:r>
          </w:p>
        </w:tc>
        <w:tc>
          <w:tcPr>
            <w:tcW w:w="11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highlight w:val="none"/>
              </w:rPr>
            </w:pPr>
          </w:p>
        </w:tc>
        <w:tc>
          <w:tcPr>
            <w:tcW w:w="13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highlight w:val="none"/>
              </w:rPr>
              <w:t>《民用爆炸物品安全管理条例》第十三条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highlight w:val="none"/>
              </w:rPr>
              <w:t>《民用爆炸物品安全生产许可实施办法》第五条《国务院关于取消和下放一批行政审批项目的决定》</w:t>
            </w:r>
          </w:p>
        </w:tc>
        <w:tc>
          <w:tcPr>
            <w:tcW w:w="12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highlight w:val="none"/>
              </w:rPr>
            </w:pPr>
          </w:p>
        </w:tc>
        <w:tc>
          <w:tcPr>
            <w:tcW w:w="12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highlight w:val="none"/>
              </w:rPr>
            </w:pPr>
          </w:p>
        </w:tc>
        <w:tc>
          <w:tcPr>
            <w:tcW w:w="12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highlight w:val="none"/>
              </w:rPr>
            </w:pPr>
          </w:p>
        </w:tc>
        <w:tc>
          <w:tcPr>
            <w:tcW w:w="9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highlight w:val="none"/>
              </w:rPr>
            </w:pPr>
          </w:p>
        </w:tc>
        <w:tc>
          <w:tcPr>
            <w:tcW w:w="69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highlight w:val="none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highlight w:val="none"/>
                <w:lang w:eastAsia="zh-CN"/>
              </w:rPr>
              <w:t>企业法人</w:t>
            </w:r>
          </w:p>
        </w:tc>
        <w:tc>
          <w:tcPr>
            <w:tcW w:w="7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highlight w:val="none"/>
                <w:lang w:val="en-US" w:eastAsia="zh-CN"/>
              </w:rPr>
              <w:t>20个工作日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highlight w:val="none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highlight w:val="none"/>
                <w:lang w:val="en-US" w:eastAsia="zh-CN"/>
              </w:rPr>
              <w:t>20个工作日</w:t>
            </w:r>
          </w:p>
        </w:tc>
        <w:tc>
          <w:tcPr>
            <w:tcW w:w="14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highlight w:val="none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highlight w:val="none"/>
                <w:lang w:eastAsia="zh-CN"/>
              </w:rPr>
              <w:t>不收费</w:t>
            </w:r>
          </w:p>
        </w:tc>
        <w:tc>
          <w:tcPr>
            <w:tcW w:w="565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Times New Roman" w:cs="Times New Roman"/>
                <w:kern w:val="0"/>
                <w:sz w:val="16"/>
                <w:szCs w:val="16"/>
                <w:highlight w:val="none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5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3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highlight w:val="none"/>
                <w:lang w:val="en-US" w:eastAsia="zh-CN"/>
              </w:rPr>
              <w:t>12</w:t>
            </w:r>
          </w:p>
        </w:tc>
        <w:tc>
          <w:tcPr>
            <w:tcW w:w="11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3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highlight w:val="none"/>
              </w:rPr>
              <w:t>工业企业节能监督检查</w:t>
            </w:r>
          </w:p>
        </w:tc>
        <w:tc>
          <w:tcPr>
            <w:tcW w:w="6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3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highlight w:val="none"/>
              </w:rPr>
              <w:t>行政检查</w:t>
            </w:r>
          </w:p>
        </w:tc>
        <w:tc>
          <w:tcPr>
            <w:tcW w:w="8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highlight w:val="none"/>
                <w:lang w:eastAsia="zh-CN"/>
              </w:rPr>
              <w:t>吉林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highlight w:val="none"/>
              </w:rPr>
              <w:t>市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highlight w:val="none"/>
              </w:rPr>
              <w:br w:type="textWrapping"/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highlight w:val="none"/>
                <w:lang w:eastAsia="zh-CN"/>
              </w:rPr>
              <w:t>工业和信息化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highlight w:val="none"/>
              </w:rPr>
              <w:t>局</w:t>
            </w:r>
          </w:p>
        </w:tc>
        <w:tc>
          <w:tcPr>
            <w:tcW w:w="11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highlight w:val="none"/>
                <w:lang w:eastAsia="zh-CN"/>
              </w:rPr>
              <w:t>吉林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highlight w:val="none"/>
              </w:rPr>
              <w:t>市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highlight w:val="none"/>
              </w:rPr>
              <w:br w:type="textWrapping"/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highlight w:val="none"/>
                <w:lang w:eastAsia="zh-CN"/>
              </w:rPr>
              <w:t>工业和信息化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highlight w:val="none"/>
              </w:rPr>
              <w:t>局</w:t>
            </w:r>
          </w:p>
        </w:tc>
        <w:tc>
          <w:tcPr>
            <w:tcW w:w="11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3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highlight w:val="none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highlight w:val="none"/>
                <w:lang w:eastAsia="zh-CN"/>
              </w:rPr>
              <w:t>《中华人民共和国节约能源法》</w:t>
            </w:r>
          </w:p>
        </w:tc>
        <w:tc>
          <w:tcPr>
            <w:tcW w:w="13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3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highlight w:val="none"/>
                <w:lang w:eastAsia="zh-CN"/>
              </w:rPr>
            </w:pPr>
          </w:p>
        </w:tc>
        <w:tc>
          <w:tcPr>
            <w:tcW w:w="12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3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highlight w:val="none"/>
              </w:rPr>
            </w:pPr>
          </w:p>
        </w:tc>
        <w:tc>
          <w:tcPr>
            <w:tcW w:w="12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3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highlight w:val="none"/>
              </w:rPr>
            </w:pPr>
          </w:p>
        </w:tc>
        <w:tc>
          <w:tcPr>
            <w:tcW w:w="12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3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highlight w:val="none"/>
              </w:rPr>
            </w:pPr>
          </w:p>
        </w:tc>
        <w:tc>
          <w:tcPr>
            <w:tcW w:w="9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3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highlight w:val="none"/>
              </w:rPr>
            </w:pPr>
          </w:p>
        </w:tc>
        <w:tc>
          <w:tcPr>
            <w:tcW w:w="69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3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highlight w:val="none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highlight w:val="none"/>
                <w:lang w:eastAsia="zh-CN"/>
              </w:rPr>
              <w:t>企业法人</w:t>
            </w:r>
          </w:p>
        </w:tc>
        <w:tc>
          <w:tcPr>
            <w:tcW w:w="7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3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highlight w:val="none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3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highlight w:val="none"/>
              </w:rPr>
            </w:pPr>
          </w:p>
        </w:tc>
        <w:tc>
          <w:tcPr>
            <w:tcW w:w="14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3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highlight w:val="none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highlight w:val="none"/>
                <w:lang w:eastAsia="zh-CN"/>
              </w:rPr>
              <w:t>不收费</w:t>
            </w:r>
          </w:p>
        </w:tc>
        <w:tc>
          <w:tcPr>
            <w:tcW w:w="565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3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Times New Roman" w:cs="Times New Roman"/>
                <w:kern w:val="0"/>
                <w:sz w:val="16"/>
                <w:szCs w:val="16"/>
                <w:highlight w:val="none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5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3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highlight w:val="none"/>
                <w:lang w:val="en-US" w:eastAsia="zh-CN"/>
              </w:rPr>
              <w:t>13</w:t>
            </w:r>
          </w:p>
        </w:tc>
        <w:tc>
          <w:tcPr>
            <w:tcW w:w="11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3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highlight w:val="none"/>
              </w:rPr>
              <w:t>民用爆炸物品安全生产许可初审年检（处理）</w:t>
            </w:r>
          </w:p>
        </w:tc>
        <w:tc>
          <w:tcPr>
            <w:tcW w:w="6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3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highlight w:val="none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highlight w:val="none"/>
                <w:lang w:eastAsia="zh-CN"/>
              </w:rPr>
              <w:t>其它行政职权</w:t>
            </w:r>
          </w:p>
        </w:tc>
        <w:tc>
          <w:tcPr>
            <w:tcW w:w="8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highlight w:val="none"/>
                <w:lang w:eastAsia="zh-CN"/>
              </w:rPr>
              <w:t>吉林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highlight w:val="none"/>
              </w:rPr>
              <w:t>市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highlight w:val="none"/>
              </w:rPr>
              <w:br w:type="textWrapping"/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highlight w:val="none"/>
                <w:lang w:eastAsia="zh-CN"/>
              </w:rPr>
              <w:t>工业和信息化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highlight w:val="none"/>
              </w:rPr>
              <w:t>局</w:t>
            </w:r>
          </w:p>
        </w:tc>
        <w:tc>
          <w:tcPr>
            <w:tcW w:w="11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highlight w:val="none"/>
                <w:lang w:eastAsia="zh-CN"/>
              </w:rPr>
              <w:t>吉林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highlight w:val="none"/>
              </w:rPr>
              <w:t>市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highlight w:val="none"/>
              </w:rPr>
              <w:br w:type="textWrapping"/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highlight w:val="none"/>
                <w:lang w:eastAsia="zh-CN"/>
              </w:rPr>
              <w:t>工业和信息化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highlight w:val="none"/>
              </w:rPr>
              <w:t>局</w:t>
            </w:r>
          </w:p>
        </w:tc>
        <w:tc>
          <w:tcPr>
            <w:tcW w:w="11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3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highlight w:val="none"/>
              </w:rPr>
            </w:pPr>
          </w:p>
        </w:tc>
        <w:tc>
          <w:tcPr>
            <w:tcW w:w="13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3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highlight w:val="none"/>
              </w:rPr>
              <w:t>《民用爆炸物品安全管理条例》</w:t>
            </w:r>
          </w:p>
        </w:tc>
        <w:tc>
          <w:tcPr>
            <w:tcW w:w="12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3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highlight w:val="none"/>
              </w:rPr>
            </w:pPr>
          </w:p>
        </w:tc>
        <w:tc>
          <w:tcPr>
            <w:tcW w:w="12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3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highlight w:val="none"/>
                <w:lang w:eastAsia="zh-CN"/>
              </w:rPr>
            </w:pPr>
          </w:p>
        </w:tc>
        <w:tc>
          <w:tcPr>
            <w:tcW w:w="12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3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highlight w:val="none"/>
              </w:rPr>
              <w:t>《吉林省民爆行业安全生产监督管理办法》</w:t>
            </w:r>
          </w:p>
        </w:tc>
        <w:tc>
          <w:tcPr>
            <w:tcW w:w="9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3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highlight w:val="none"/>
              </w:rPr>
            </w:pPr>
          </w:p>
        </w:tc>
        <w:tc>
          <w:tcPr>
            <w:tcW w:w="69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3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highlight w:val="none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highlight w:val="none"/>
                <w:lang w:eastAsia="zh-CN"/>
              </w:rPr>
              <w:t>企业法人</w:t>
            </w:r>
          </w:p>
        </w:tc>
        <w:tc>
          <w:tcPr>
            <w:tcW w:w="7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3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highlight w:val="none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3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highlight w:val="none"/>
              </w:rPr>
            </w:pPr>
          </w:p>
        </w:tc>
        <w:tc>
          <w:tcPr>
            <w:tcW w:w="14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3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highlight w:val="none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highlight w:val="none"/>
                <w:lang w:eastAsia="zh-CN"/>
              </w:rPr>
              <w:t>不收费</w:t>
            </w:r>
          </w:p>
        </w:tc>
        <w:tc>
          <w:tcPr>
            <w:tcW w:w="565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3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Times New Roman" w:cs="Times New Roman"/>
                <w:kern w:val="0"/>
                <w:sz w:val="16"/>
                <w:szCs w:val="16"/>
                <w:highlight w:val="none"/>
              </w:rPr>
            </w:pPr>
          </w:p>
        </w:tc>
      </w:tr>
    </w:tbl>
    <w:p>
      <w:pPr>
        <w:rPr>
          <w:rFonts w:hint="default" w:ascii="Times New Roman" w:hAnsi="Times New Roman" w:cs="Times New Roman"/>
          <w:sz w:val="22"/>
          <w:szCs w:val="22"/>
        </w:rPr>
      </w:pPr>
      <w:r>
        <w:rPr>
          <w:rFonts w:hint="default" w:ascii="Times New Roman" w:hAnsi="Times New Roman" w:cs="Times New Roman"/>
          <w:sz w:val="22"/>
          <w:szCs w:val="22"/>
        </w:rPr>
        <w:t>填表人：</w:t>
      </w:r>
      <w:r>
        <w:rPr>
          <w:rFonts w:hint="eastAsia" w:ascii="Times New Roman" w:hAnsi="Times New Roman" w:cs="Times New Roman"/>
          <w:sz w:val="22"/>
          <w:szCs w:val="22"/>
          <w:lang w:eastAsia="zh-CN"/>
        </w:rPr>
        <w:t>李艳伟</w:t>
      </w:r>
      <w:r>
        <w:rPr>
          <w:rFonts w:hint="default" w:ascii="Times New Roman" w:hAnsi="Times New Roman" w:cs="Times New Roman"/>
          <w:sz w:val="22"/>
          <w:szCs w:val="22"/>
        </w:rPr>
        <w:t xml:space="preserve">                                </w:t>
      </w:r>
      <w:r>
        <w:rPr>
          <w:rFonts w:hint="eastAsia" w:ascii="Times New Roman" w:hAnsi="Times New Roman" w:cs="Times New Roman"/>
          <w:sz w:val="22"/>
          <w:szCs w:val="22"/>
          <w:lang w:val="en-US" w:eastAsia="zh-CN"/>
        </w:rPr>
        <w:t xml:space="preserve">     </w:t>
      </w:r>
      <w:r>
        <w:rPr>
          <w:rFonts w:hint="default" w:ascii="Times New Roman" w:hAnsi="Times New Roman" w:cs="Times New Roman"/>
          <w:sz w:val="22"/>
          <w:szCs w:val="22"/>
        </w:rPr>
        <w:t xml:space="preserve"> 联系电话：</w:t>
      </w:r>
      <w:r>
        <w:rPr>
          <w:rFonts w:hint="default" w:ascii="Times New Roman" w:hAnsi="Times New Roman" w:cs="Times New Roman"/>
          <w:sz w:val="22"/>
          <w:szCs w:val="22"/>
          <w:lang w:val="en-US" w:eastAsia="zh-CN"/>
        </w:rPr>
        <w:t>0432-</w:t>
      </w:r>
      <w:r>
        <w:rPr>
          <w:rFonts w:hint="eastAsia" w:ascii="Times New Roman" w:hAnsi="Times New Roman" w:cs="Times New Roman"/>
          <w:sz w:val="22"/>
          <w:szCs w:val="22"/>
          <w:lang w:val="en-US" w:eastAsia="zh-CN"/>
        </w:rPr>
        <w:t>62048605</w:t>
      </w:r>
      <w:r>
        <w:rPr>
          <w:rFonts w:hint="default" w:ascii="Times New Roman" w:hAnsi="Times New Roman" w:cs="Times New Roman"/>
          <w:sz w:val="22"/>
          <w:szCs w:val="22"/>
        </w:rPr>
        <w:t xml:space="preserve">                             </w:t>
      </w:r>
      <w:r>
        <w:rPr>
          <w:rFonts w:hint="eastAsia" w:ascii="Times New Roman" w:hAnsi="Times New Roman" w:cs="Times New Roman"/>
          <w:sz w:val="22"/>
          <w:szCs w:val="22"/>
          <w:lang w:val="en-US" w:eastAsia="zh-CN"/>
        </w:rPr>
        <w:t xml:space="preserve">     </w:t>
      </w:r>
      <w:r>
        <w:rPr>
          <w:rFonts w:hint="default" w:ascii="Times New Roman" w:hAnsi="Times New Roman" w:cs="Times New Roman"/>
          <w:sz w:val="22"/>
          <w:szCs w:val="22"/>
        </w:rPr>
        <w:t>填表日期：</w:t>
      </w:r>
      <w:r>
        <w:rPr>
          <w:rFonts w:hint="default" w:ascii="Times New Roman" w:hAnsi="Times New Roman" w:cs="Times New Roman"/>
          <w:sz w:val="22"/>
          <w:szCs w:val="22"/>
          <w:lang w:val="en-US" w:eastAsia="zh-CN"/>
        </w:rPr>
        <w:t>2020.07.</w:t>
      </w:r>
      <w:r>
        <w:rPr>
          <w:rFonts w:hint="eastAsia" w:ascii="Times New Roman" w:hAnsi="Times New Roman" w:cs="Times New Roman"/>
          <w:sz w:val="22"/>
          <w:szCs w:val="22"/>
          <w:lang w:val="en-US" w:eastAsia="zh-CN"/>
        </w:rPr>
        <w:t>31</w:t>
      </w:r>
    </w:p>
    <w:sectPr>
      <w:footerReference r:id="rId3" w:type="default"/>
      <w:pgSz w:w="16838" w:h="11906" w:orient="landscape"/>
      <w:pgMar w:top="720" w:right="720" w:bottom="720" w:left="72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altName w:val="Arial Unicode MS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alibri Light">
    <w:altName w:val="Calibri"/>
    <w:panose1 w:val="00000000000000000000"/>
    <w:charset w:val="00"/>
    <w:family w:val="swiss"/>
    <w:pitch w:val="default"/>
    <w:sig w:usb0="00000000" w:usb1="00000000" w:usb2="00000000" w:usb3="00000000" w:csb0="0000019F" w:csb1="00000000"/>
  </w:font>
  <w:font w:name="楷体">
    <w:altName w:val="楷体_GB2312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0F3C52" w:usb2="00000016" w:usb3="00000000" w:csb0="0004001F" w:csb1="00000000"/>
  </w:font>
  <w:font w:name="iconfont">
    <w:altName w:val="Latha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altName w:val="Verdana"/>
    <w:panose1 w:val="02000600000000000000"/>
    <w:charset w:val="00"/>
    <w:family w:val="auto"/>
    <w:pitch w:val="default"/>
    <w:sig w:usb0="00000000" w:usb1="00000000" w:usb2="00000000" w:usb3="00000000" w:csb0="2000009F" w:csb1="4701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Tahoma">
    <w:panose1 w:val="020B0604030504040204"/>
    <w:charset w:val="00"/>
    <w:family w:val="auto"/>
    <w:pitch w:val="default"/>
    <w:sig w:usb0="61007A87" w:usb1="80000000" w:usb2="00000008" w:usb3="00000000" w:csb0="200101FF" w:csb1="2028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Latha">
    <w:panose1 w:val="02000400000000000000"/>
    <w:charset w:val="00"/>
    <w:family w:val="auto"/>
    <w:pitch w:val="default"/>
    <w:sig w:usb0="00100000" w:usb1="00000000" w:usb2="00000000" w:usb3="00000000" w:csb0="00000000" w:csb1="00000000"/>
  </w:font>
  <w:font w:name="Verdana">
    <w:panose1 w:val="020B0604030504040204"/>
    <w:charset w:val="00"/>
    <w:family w:val="auto"/>
    <w:pitch w:val="default"/>
    <w:sig w:usb0="00000287" w:usb1="00000000" w:usb2="00000000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sz w:val="18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separate"/>
                          </w:r>
                          <w:r>
                            <w:rPr>
                              <w:sz w:val="18"/>
                            </w:rPr>
                            <w:t>1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sz w:val="18"/>
                      </w:rPr>
                    </w:pPr>
                    <w:r>
                      <w:rPr>
                        <w:rFonts w:hint="eastAsia"/>
                        <w:sz w:val="18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</w:rPr>
                      <w:fldChar w:fldCharType="separate"/>
                    </w:r>
                    <w:r>
                      <w:rPr>
                        <w:sz w:val="18"/>
                      </w:rPr>
                      <w:t>1</w:t>
                    </w:r>
                    <w:r>
                      <w:rPr>
                        <w:rFonts w:hint="eastAsia"/>
                        <w:sz w:val="1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4CE2"/>
    <w:rsid w:val="000065EB"/>
    <w:rsid w:val="000450B1"/>
    <w:rsid w:val="000A5B63"/>
    <w:rsid w:val="0010256F"/>
    <w:rsid w:val="00136624"/>
    <w:rsid w:val="00212E8A"/>
    <w:rsid w:val="00225D96"/>
    <w:rsid w:val="00294F2F"/>
    <w:rsid w:val="003F2321"/>
    <w:rsid w:val="00400198"/>
    <w:rsid w:val="00454CE2"/>
    <w:rsid w:val="00496AF9"/>
    <w:rsid w:val="005135E0"/>
    <w:rsid w:val="00584E52"/>
    <w:rsid w:val="00594BDA"/>
    <w:rsid w:val="005B4FDA"/>
    <w:rsid w:val="005D6D16"/>
    <w:rsid w:val="005E1158"/>
    <w:rsid w:val="00613D07"/>
    <w:rsid w:val="006602A1"/>
    <w:rsid w:val="006D585B"/>
    <w:rsid w:val="0075178E"/>
    <w:rsid w:val="007724EE"/>
    <w:rsid w:val="007F1EB5"/>
    <w:rsid w:val="00863FB2"/>
    <w:rsid w:val="00916444"/>
    <w:rsid w:val="009540C0"/>
    <w:rsid w:val="00965C8A"/>
    <w:rsid w:val="00A22949"/>
    <w:rsid w:val="00AD556E"/>
    <w:rsid w:val="00B35190"/>
    <w:rsid w:val="00BB7126"/>
    <w:rsid w:val="00BD500E"/>
    <w:rsid w:val="00C169FD"/>
    <w:rsid w:val="00C414BD"/>
    <w:rsid w:val="00D71C0E"/>
    <w:rsid w:val="00E43CFA"/>
    <w:rsid w:val="00E66F54"/>
    <w:rsid w:val="00EC6F59"/>
    <w:rsid w:val="00F25AFC"/>
    <w:rsid w:val="00F52506"/>
    <w:rsid w:val="00FC5B3C"/>
    <w:rsid w:val="01CA636D"/>
    <w:rsid w:val="08F9343C"/>
    <w:rsid w:val="09FB020E"/>
    <w:rsid w:val="0D2D772E"/>
    <w:rsid w:val="0EA41E4A"/>
    <w:rsid w:val="13BE4E11"/>
    <w:rsid w:val="16520437"/>
    <w:rsid w:val="18A04B5F"/>
    <w:rsid w:val="27043FD9"/>
    <w:rsid w:val="2B8D3FE6"/>
    <w:rsid w:val="2DBF0339"/>
    <w:rsid w:val="2EA57753"/>
    <w:rsid w:val="2F840BCA"/>
    <w:rsid w:val="30B5136E"/>
    <w:rsid w:val="36D51C29"/>
    <w:rsid w:val="3AF95750"/>
    <w:rsid w:val="416D1363"/>
    <w:rsid w:val="45EE0BE5"/>
    <w:rsid w:val="51EC077A"/>
    <w:rsid w:val="55D57C6D"/>
    <w:rsid w:val="56A72E62"/>
    <w:rsid w:val="56E56670"/>
    <w:rsid w:val="5AFD1E89"/>
    <w:rsid w:val="5E04126A"/>
    <w:rsid w:val="62D01C10"/>
    <w:rsid w:val="62D078A3"/>
    <w:rsid w:val="638B071C"/>
    <w:rsid w:val="6B0246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0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/>
    <w:lsdException w:uiPriority="99" w:name="Salutation"/>
    <w:lsdException w:qFormat="1" w:uiPriority="99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unhideWhenUsed/>
    <w:uiPriority w:val="1"/>
  </w:style>
  <w:style w:type="table" w:default="1" w:styleId="8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unhideWhenUsed/>
    <w:uiPriority w:val="99"/>
    <w:pPr>
      <w:jc w:val="left"/>
    </w:pPr>
  </w:style>
  <w:style w:type="paragraph" w:styleId="3">
    <w:name w:val="Date"/>
    <w:basedOn w:val="1"/>
    <w:next w:val="1"/>
    <w:link w:val="9"/>
    <w:unhideWhenUsed/>
    <w:qFormat/>
    <w:uiPriority w:val="99"/>
    <w:pPr>
      <w:ind w:left="100" w:leftChars="2500"/>
    </w:pPr>
  </w:style>
  <w:style w:type="paragraph" w:styleId="4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customStyle="1" w:styleId="9">
    <w:name w:val="日期 Char"/>
    <w:basedOn w:val="7"/>
    <w:link w:val="3"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4"/>
    </w:rPr>
  </w:style>
  <w:style w:type="character" w:customStyle="1" w:styleId="10">
    <w:name w:val="页眉 Char"/>
    <w:basedOn w:val="7"/>
    <w:link w:val="5"/>
    <w:semiHidden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1">
    <w:name w:val="页脚 Char"/>
    <w:basedOn w:val="7"/>
    <w:link w:val="4"/>
    <w:semiHidden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8</Pages>
  <Words>499</Words>
  <Characters>2846</Characters>
  <Lines>23</Lines>
  <Paragraphs>6</Paragraphs>
  <TotalTime>0</TotalTime>
  <ScaleCrop>false</ScaleCrop>
  <LinksUpToDate>false</LinksUpToDate>
  <CharactersWithSpaces>3339</CharactersWithSpaces>
  <Application>WPS Office_10.8.0.6423_F1E327BC-269C-435d-A152-05C5408002CA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2020-05-06T00:48:00Z</dcterms:created>
  <dc:creator>user</dc:creator>
  <cp:lastModifiedBy>Administrator</cp:lastModifiedBy>
  <cp:lastPrinted>2020-08-10T00:39:36Z</cp:lastPrinted>
  <dcterms:modified xsi:type="dcterms:W3CDTF">2020-08-10T00:39:41Z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