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49683E">
      <w:pPr>
        <w:wordWrap w:val="0"/>
        <w:jc w:val="right"/>
        <w:rPr>
          <w:rFonts w:ascii="黑体" w:eastAsia="黑体"/>
          <w:sz w:val="32"/>
        </w:rPr>
      </w:pPr>
      <w:r>
        <w:rPr>
          <w:rFonts w:hint="eastAsia" w:ascii="仿宋_GB2312" w:eastAsia="仿宋_GB2312"/>
          <w:b/>
          <w:bCs/>
          <w:sz w:val="32"/>
        </w:rPr>
        <w:t xml:space="preserve">        </w:t>
      </w:r>
      <w:r>
        <w:rPr>
          <w:rFonts w:hint="eastAsia" w:ascii="仿宋_GB2312" w:eastAsia="仿宋_GB2312"/>
          <w:b/>
          <w:bCs/>
          <w:sz w:val="32"/>
          <w:lang w:val="en-US" w:eastAsia="zh-CN"/>
        </w:rPr>
        <w:t xml:space="preserve"> </w:t>
      </w:r>
      <w:r>
        <w:rPr>
          <w:rFonts w:hint="eastAsia" w:ascii="仿宋_GB2312" w:eastAsia="仿宋_GB2312"/>
          <w:b/>
          <w:bCs/>
          <w:sz w:val="32"/>
        </w:rPr>
        <w:t xml:space="preserve"> </w:t>
      </w:r>
      <w:r>
        <w:rPr>
          <w:rFonts w:hint="eastAsia" w:ascii="仿宋_GB2312" w:eastAsia="仿宋_GB2312"/>
          <w:b/>
          <w:bCs/>
          <w:sz w:val="32"/>
          <w:lang w:val="en-US" w:eastAsia="zh-CN"/>
        </w:rPr>
        <w:t>A</w:t>
      </w:r>
      <w:r>
        <w:rPr>
          <w:rFonts w:hint="eastAsia" w:ascii="黑体" w:eastAsia="黑体"/>
          <w:sz w:val="32"/>
        </w:rPr>
        <w:t xml:space="preserve"> </w:t>
      </w:r>
      <w:r>
        <w:rPr>
          <w:rFonts w:hint="eastAsia" w:ascii="仿宋_GB2312" w:eastAsia="仿宋_GB2312"/>
          <w:b/>
          <w:bCs/>
          <w:sz w:val="32"/>
          <w:lang w:val="en-US" w:eastAsia="zh-CN"/>
        </w:rPr>
        <w:t xml:space="preserve">   </w:t>
      </w:r>
      <w:r>
        <w:rPr>
          <w:rFonts w:hint="eastAsia" w:ascii="黑体" w:eastAsia="黑体"/>
          <w:sz w:val="32"/>
        </w:rPr>
        <w:t xml:space="preserve"> </w:t>
      </w:r>
    </w:p>
    <w:p w14:paraId="550C4A05">
      <w:pPr>
        <w:wordWrap w:val="0"/>
        <w:jc w:val="right"/>
        <w:rPr>
          <w:rFonts w:ascii="楷体_GB2312" w:eastAsia="楷体_GB2312"/>
          <w:color w:val="000000"/>
          <w:sz w:val="32"/>
          <w:szCs w:val="32"/>
        </w:rPr>
      </w:pPr>
      <w:r>
        <w:rPr>
          <w:rFonts w:hint="eastAsia" w:ascii="黑体" w:eastAsia="黑体"/>
          <w:sz w:val="32"/>
        </w:rPr>
        <w:t>同意公开</w:t>
      </w:r>
      <w:r>
        <w:rPr>
          <w:rFonts w:hint="eastAsia" w:ascii="黑体" w:eastAsia="黑体"/>
          <w:sz w:val="32"/>
          <w:lang w:val="en-US" w:eastAsia="zh-CN"/>
        </w:rPr>
        <w:t xml:space="preserve"> </w:t>
      </w:r>
      <w:r>
        <w:rPr>
          <w:rFonts w:hint="eastAsia" w:ascii="黑体" w:eastAsia="黑体"/>
          <w:sz w:val="32"/>
        </w:rPr>
        <w:t xml:space="preserve"> </w:t>
      </w:r>
    </w:p>
    <w:p w14:paraId="6071DEFD">
      <w:pPr>
        <w:keepNext w:val="0"/>
        <w:keepLines w:val="0"/>
        <w:pageBreakBefore w:val="0"/>
        <w:widowControl w:val="0"/>
        <w:kinsoku/>
        <w:overflowPunct/>
        <w:topLinePunct w:val="0"/>
        <w:autoSpaceDE/>
        <w:autoSpaceDN/>
        <w:bidi w:val="0"/>
        <w:adjustRightInd/>
        <w:snapToGrid/>
        <w:spacing w:line="620" w:lineRule="exact"/>
        <w:jc w:val="center"/>
        <w:textAlignment w:val="auto"/>
        <w:rPr>
          <w:rFonts w:ascii="仿宋_GB2312" w:eastAsia="仿宋_GB2312"/>
          <w:color w:val="auto"/>
          <w:sz w:val="32"/>
        </w:rPr>
      </w:pPr>
      <w:r>
        <w:rPr>
          <w:rFonts w:hint="eastAsia" w:ascii="楷体_GB2312" w:hAnsi="楷体_GB2312" w:eastAsia="楷体_GB2312" w:cs="楷体_GB2312"/>
          <w:color w:val="auto"/>
          <w:sz w:val="24"/>
          <w:szCs w:val="24"/>
        </w:rPr>
        <w:t>吉</w:t>
      </w:r>
      <w:r>
        <w:rPr>
          <w:rFonts w:hint="eastAsia" w:ascii="楷体_GB2312" w:hAnsi="楷体_GB2312" w:eastAsia="楷体_GB2312" w:cs="楷体_GB2312"/>
          <w:color w:val="auto"/>
          <w:sz w:val="24"/>
          <w:szCs w:val="24"/>
          <w:lang w:eastAsia="zh-CN"/>
        </w:rPr>
        <w:t>市城议</w:t>
      </w:r>
      <w:r>
        <w:rPr>
          <w:rFonts w:hint="eastAsia" w:ascii="楷体_GB2312" w:hAnsi="楷体_GB2312" w:eastAsia="楷体_GB2312" w:cs="楷体_GB2312"/>
          <w:color w:val="auto"/>
          <w:sz w:val="24"/>
          <w:szCs w:val="24"/>
        </w:rPr>
        <w:t>字〔</w:t>
      </w:r>
      <w:r>
        <w:rPr>
          <w:rFonts w:hint="eastAsia" w:ascii="楷体_GB2312" w:hAnsi="楷体_GB2312" w:eastAsia="楷体_GB2312" w:cs="楷体_GB2312"/>
          <w:color w:val="auto"/>
          <w:sz w:val="24"/>
          <w:szCs w:val="24"/>
          <w:lang w:val="en-US" w:eastAsia="zh-CN"/>
        </w:rPr>
        <w:t>2024</w:t>
      </w:r>
      <w:r>
        <w:rPr>
          <w:rFonts w:hint="eastAsia" w:ascii="楷体_GB2312" w:hAnsi="楷体_GB2312" w:eastAsia="楷体_GB2312" w:cs="楷体_GB2312"/>
          <w:color w:val="auto"/>
          <w:sz w:val="24"/>
          <w:szCs w:val="24"/>
        </w:rPr>
        <w:t>〕</w:t>
      </w:r>
      <w:r>
        <w:rPr>
          <w:rFonts w:hint="eastAsia" w:ascii="楷体_GB2312" w:hAnsi="楷体_GB2312" w:eastAsia="楷体_GB2312" w:cs="楷体_GB2312"/>
          <w:color w:val="auto"/>
          <w:sz w:val="24"/>
          <w:szCs w:val="24"/>
          <w:lang w:val="en-US" w:eastAsia="zh-CN"/>
        </w:rPr>
        <w:t>3</w:t>
      </w:r>
      <w:r>
        <w:rPr>
          <w:rFonts w:hint="eastAsia" w:ascii="楷体_GB2312" w:hAnsi="楷体_GB2312" w:eastAsia="楷体_GB2312" w:cs="楷体_GB2312"/>
          <w:color w:val="auto"/>
          <w:sz w:val="24"/>
          <w:szCs w:val="24"/>
        </w:rPr>
        <w:t>号               签发人：</w:t>
      </w:r>
      <w:r>
        <w:rPr>
          <w:rFonts w:hint="eastAsia" w:ascii="楷体_GB2312" w:hAnsi="楷体_GB2312" w:eastAsia="楷体_GB2312" w:cs="楷体_GB2312"/>
          <w:color w:val="auto"/>
          <w:sz w:val="24"/>
          <w:szCs w:val="24"/>
          <w:lang w:eastAsia="zh-CN"/>
        </w:rPr>
        <w:t>刘庆东</w:t>
      </w:r>
    </w:p>
    <w:p w14:paraId="0C2470E6">
      <w:pPr>
        <w:keepNext w:val="0"/>
        <w:keepLines w:val="0"/>
        <w:pageBreakBefore w:val="0"/>
        <w:widowControl w:val="0"/>
        <w:kinsoku/>
        <w:overflowPunct/>
        <w:topLinePunct w:val="0"/>
        <w:autoSpaceDE/>
        <w:autoSpaceDN/>
        <w:bidi w:val="0"/>
        <w:adjustRightInd/>
        <w:snapToGrid/>
        <w:spacing w:line="620" w:lineRule="exact"/>
        <w:jc w:val="center"/>
        <w:textAlignment w:val="auto"/>
        <w:rPr>
          <w:rFonts w:ascii="仿宋_GB2312" w:eastAsia="仿宋_GB2312"/>
          <w:sz w:val="32"/>
        </w:rPr>
      </w:pPr>
      <w:r>
        <w:rPr>
          <w:rFonts w:hint="eastAsia" w:ascii="宋体" w:hAnsi="宋体" w:eastAsia="宋体" w:cs="宋体"/>
          <w:b/>
          <w:bCs/>
          <w:color w:val="auto"/>
          <w:sz w:val="36"/>
          <w:szCs w:val="36"/>
        </w:rPr>
        <w:t>对市十</w:t>
      </w:r>
      <w:r>
        <w:rPr>
          <w:rFonts w:hint="eastAsia" w:ascii="宋体" w:hAnsi="宋体" w:eastAsia="宋体" w:cs="宋体"/>
          <w:b/>
          <w:bCs/>
          <w:color w:val="auto"/>
          <w:sz w:val="36"/>
          <w:szCs w:val="36"/>
          <w:lang w:val="en-US" w:eastAsia="zh-CN"/>
        </w:rPr>
        <w:t>七</w:t>
      </w:r>
      <w:r>
        <w:rPr>
          <w:rFonts w:hint="eastAsia" w:ascii="宋体" w:hAnsi="宋体" w:eastAsia="宋体" w:cs="宋体"/>
          <w:b/>
          <w:bCs/>
          <w:color w:val="auto"/>
          <w:sz w:val="36"/>
          <w:szCs w:val="36"/>
        </w:rPr>
        <w:t>届人大</w:t>
      </w:r>
      <w:r>
        <w:rPr>
          <w:rFonts w:hint="eastAsia" w:ascii="宋体" w:hAnsi="宋体" w:eastAsia="宋体" w:cs="宋体"/>
          <w:b/>
          <w:bCs/>
          <w:color w:val="auto"/>
          <w:sz w:val="36"/>
          <w:szCs w:val="36"/>
          <w:lang w:eastAsia="zh-CN"/>
        </w:rPr>
        <w:t>四</w:t>
      </w:r>
      <w:r>
        <w:rPr>
          <w:rFonts w:hint="eastAsia" w:ascii="宋体" w:hAnsi="宋体" w:eastAsia="宋体" w:cs="宋体"/>
          <w:b/>
          <w:bCs/>
          <w:color w:val="auto"/>
          <w:sz w:val="36"/>
          <w:szCs w:val="36"/>
        </w:rPr>
        <w:t>次会议第</w:t>
      </w:r>
      <w:r>
        <w:rPr>
          <w:rFonts w:hint="eastAsia" w:ascii="宋体" w:hAnsi="宋体" w:eastAsia="宋体" w:cs="宋体"/>
          <w:b/>
          <w:bCs/>
          <w:color w:val="auto"/>
          <w:sz w:val="36"/>
          <w:szCs w:val="36"/>
          <w:lang w:val="en-US" w:eastAsia="zh-CN"/>
        </w:rPr>
        <w:t>12</w:t>
      </w:r>
      <w:r>
        <w:rPr>
          <w:rFonts w:hint="eastAsia" w:ascii="宋体" w:hAnsi="宋体" w:eastAsia="宋体" w:cs="宋体"/>
          <w:b/>
          <w:bCs/>
          <w:color w:val="auto"/>
          <w:sz w:val="36"/>
          <w:szCs w:val="36"/>
        </w:rPr>
        <w:t>号</w:t>
      </w:r>
      <w:r>
        <w:rPr>
          <w:rFonts w:hint="eastAsia" w:ascii="宋体" w:hAnsi="宋体" w:eastAsia="宋体" w:cs="宋体"/>
          <w:b/>
          <w:bCs/>
          <w:color w:val="auto"/>
          <w:sz w:val="36"/>
          <w:szCs w:val="36"/>
          <w:lang w:eastAsia="zh-CN"/>
        </w:rPr>
        <w:t>代表</w:t>
      </w:r>
      <w:r>
        <w:rPr>
          <w:rFonts w:hint="eastAsia" w:ascii="宋体" w:hAnsi="宋体" w:eastAsia="宋体" w:cs="宋体"/>
          <w:b/>
          <w:bCs/>
          <w:color w:val="auto"/>
          <w:sz w:val="36"/>
          <w:szCs w:val="36"/>
        </w:rPr>
        <w:t>建议的答复</w:t>
      </w:r>
    </w:p>
    <w:p w14:paraId="16F71A34">
      <w:pPr>
        <w:keepNext w:val="0"/>
        <w:keepLines w:val="0"/>
        <w:pageBreakBefore w:val="0"/>
        <w:kinsoku/>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李金玲</w:t>
      </w:r>
      <w:r>
        <w:rPr>
          <w:rFonts w:hint="eastAsia" w:asciiTheme="minorEastAsia" w:hAnsiTheme="minorEastAsia" w:eastAsiaTheme="minorEastAsia" w:cstheme="minorEastAsia"/>
          <w:sz w:val="24"/>
          <w:szCs w:val="24"/>
        </w:rPr>
        <w:t>代表：</w:t>
      </w:r>
    </w:p>
    <w:p w14:paraId="0094AAEC">
      <w:pPr>
        <w:keepNext w:val="0"/>
        <w:keepLines w:val="0"/>
        <w:pageBreakBefore w:val="0"/>
        <w:kinsoku/>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您在市十</w:t>
      </w:r>
      <w:r>
        <w:rPr>
          <w:rFonts w:hint="eastAsia" w:asciiTheme="minorEastAsia" w:hAnsiTheme="minorEastAsia" w:eastAsiaTheme="minorEastAsia" w:cstheme="minorEastAsia"/>
          <w:sz w:val="24"/>
          <w:szCs w:val="24"/>
          <w:lang w:val="en-US" w:eastAsia="zh-CN"/>
        </w:rPr>
        <w:t>七</w:t>
      </w:r>
      <w:r>
        <w:rPr>
          <w:rFonts w:hint="eastAsia" w:asciiTheme="minorEastAsia" w:hAnsiTheme="minorEastAsia" w:eastAsiaTheme="minorEastAsia" w:cstheme="minorEastAsia"/>
          <w:sz w:val="24"/>
          <w:szCs w:val="24"/>
        </w:rPr>
        <w:t>届人大</w:t>
      </w:r>
      <w:r>
        <w:rPr>
          <w:rFonts w:hint="eastAsia" w:asciiTheme="minorEastAsia" w:hAnsiTheme="minorEastAsia" w:eastAsiaTheme="minorEastAsia" w:cstheme="minorEastAsia"/>
          <w:sz w:val="24"/>
          <w:szCs w:val="24"/>
          <w:lang w:val="en-US" w:eastAsia="zh-CN"/>
        </w:rPr>
        <w:t>四</w:t>
      </w:r>
      <w:r>
        <w:rPr>
          <w:rFonts w:hint="eastAsia" w:asciiTheme="minorEastAsia" w:hAnsiTheme="minorEastAsia" w:eastAsiaTheme="minorEastAsia" w:cstheme="minorEastAsia"/>
          <w:sz w:val="24"/>
          <w:szCs w:val="24"/>
        </w:rPr>
        <w:t>次会议上提出的《</w:t>
      </w:r>
      <w:r>
        <w:rPr>
          <w:rFonts w:hint="eastAsia" w:asciiTheme="minorEastAsia" w:hAnsiTheme="minorEastAsia" w:eastAsiaTheme="minorEastAsia" w:cstheme="minorEastAsia"/>
          <w:kern w:val="0"/>
          <w:sz w:val="24"/>
          <w:szCs w:val="24"/>
        </w:rPr>
        <w:t>关于</w:t>
      </w:r>
      <w:r>
        <w:rPr>
          <w:rFonts w:hint="eastAsia" w:asciiTheme="minorEastAsia" w:hAnsiTheme="minorEastAsia" w:eastAsiaTheme="minorEastAsia" w:cstheme="minorEastAsia"/>
          <w:kern w:val="0"/>
          <w:sz w:val="24"/>
          <w:szCs w:val="24"/>
          <w:lang w:val="en-US" w:eastAsia="zh-CN"/>
        </w:rPr>
        <w:t>进一步加快垃圾分类的建议</w:t>
      </w:r>
      <w:r>
        <w:rPr>
          <w:rFonts w:hint="eastAsia" w:asciiTheme="minorEastAsia" w:hAnsiTheme="minorEastAsia" w:eastAsiaTheme="minorEastAsia" w:cstheme="minorEastAsia"/>
          <w:sz w:val="24"/>
          <w:szCs w:val="24"/>
        </w:rPr>
        <w:t>》（第</w:t>
      </w:r>
      <w:r>
        <w:rPr>
          <w:rFonts w:hint="eastAsia" w:asciiTheme="minorEastAsia" w:hAnsiTheme="minorEastAsia" w:eastAsiaTheme="minorEastAsia" w:cstheme="minorEastAsia"/>
          <w:sz w:val="24"/>
          <w:szCs w:val="24"/>
          <w:lang w:val="en-US" w:eastAsia="zh-CN"/>
        </w:rPr>
        <w:t>12</w:t>
      </w:r>
      <w:r>
        <w:rPr>
          <w:rFonts w:hint="eastAsia" w:asciiTheme="minorEastAsia" w:hAnsiTheme="minorEastAsia" w:eastAsiaTheme="minorEastAsia" w:cstheme="minorEastAsia"/>
          <w:sz w:val="24"/>
          <w:szCs w:val="24"/>
        </w:rPr>
        <w:t>号建议）收悉，经认真研究办理，现答复如下：</w:t>
      </w:r>
    </w:p>
    <w:p w14:paraId="1453D7D2">
      <w:pPr>
        <w:pStyle w:val="8"/>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240" w:lineRule="auto"/>
        <w:ind w:right="0"/>
        <w:jc w:val="left"/>
        <w:textAlignment w:val="auto"/>
        <w:rPr>
          <w:rFonts w:hint="eastAsia" w:asciiTheme="minorEastAsia" w:hAnsiTheme="minorEastAsia" w:eastAsiaTheme="minorEastAsia" w:cstheme="minorEastAsia"/>
          <w:b/>
          <w:bCs/>
          <w:kern w:val="0"/>
          <w:sz w:val="24"/>
          <w:szCs w:val="24"/>
          <w:lang w:val="en-US" w:eastAsia="zh-CN" w:bidi="ar-SA"/>
        </w:rPr>
      </w:pPr>
      <w:r>
        <w:rPr>
          <w:rFonts w:hint="eastAsia" w:asciiTheme="minorEastAsia" w:hAnsiTheme="minorEastAsia" w:eastAsiaTheme="minorEastAsia" w:cstheme="minorEastAsia"/>
          <w:b/>
          <w:bCs/>
          <w:kern w:val="0"/>
          <w:sz w:val="24"/>
          <w:szCs w:val="24"/>
          <w:lang w:val="en-US" w:eastAsia="zh-CN" w:bidi="ar-SA"/>
        </w:rPr>
        <w:t>一、关于进一步扩大宣传的建议</w:t>
      </w:r>
    </w:p>
    <w:p w14:paraId="79D6FD96">
      <w:pPr>
        <w:pStyle w:val="8"/>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240" w:lineRule="auto"/>
        <w:ind w:right="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kern w:val="0"/>
          <w:sz w:val="24"/>
          <w:szCs w:val="24"/>
          <w:lang w:val="en-US" w:eastAsia="zh-CN" w:bidi="ar-SA"/>
        </w:rPr>
        <w:t>为</w:t>
      </w:r>
      <w:r>
        <w:rPr>
          <w:rFonts w:hint="eastAsia" w:asciiTheme="minorEastAsia" w:hAnsiTheme="minorEastAsia" w:eastAsiaTheme="minorEastAsia" w:cstheme="minorEastAsia"/>
          <w:sz w:val="24"/>
          <w:szCs w:val="24"/>
        </w:rPr>
        <w:t>进一步推动我市</w:t>
      </w:r>
      <w:r>
        <w:rPr>
          <w:rFonts w:hint="eastAsia" w:asciiTheme="minorEastAsia" w:hAnsiTheme="minorEastAsia" w:eastAsiaTheme="minorEastAsia" w:cstheme="minorEastAsia"/>
          <w:sz w:val="24"/>
          <w:szCs w:val="24"/>
          <w:lang w:eastAsia="zh-CN"/>
        </w:rPr>
        <w:t>城市</w:t>
      </w:r>
      <w:r>
        <w:rPr>
          <w:rFonts w:hint="eastAsia" w:asciiTheme="minorEastAsia" w:hAnsiTheme="minorEastAsia" w:eastAsiaTheme="minorEastAsia" w:cstheme="minorEastAsia"/>
          <w:sz w:val="24"/>
          <w:szCs w:val="24"/>
        </w:rPr>
        <w:t>生活垃圾分类工作，加强生活垃圾分类宣传教育，</w:t>
      </w:r>
      <w:r>
        <w:rPr>
          <w:rFonts w:hint="eastAsia" w:asciiTheme="minorEastAsia" w:hAnsiTheme="minorEastAsia" w:eastAsiaTheme="minorEastAsia" w:cstheme="minorEastAsia"/>
          <w:sz w:val="24"/>
          <w:szCs w:val="24"/>
          <w:lang w:eastAsia="zh-CN"/>
        </w:rPr>
        <w:t>市</w:t>
      </w:r>
      <w:r>
        <w:rPr>
          <w:rFonts w:hint="eastAsia" w:asciiTheme="minorEastAsia" w:hAnsiTheme="minorEastAsia" w:eastAsiaTheme="minorEastAsia" w:cstheme="minorEastAsia"/>
          <w:sz w:val="24"/>
          <w:szCs w:val="24"/>
          <w:lang w:val="en-US" w:eastAsia="zh-CN"/>
        </w:rPr>
        <w:t>城管局</w:t>
      </w:r>
      <w:r>
        <w:rPr>
          <w:rFonts w:hint="eastAsia" w:asciiTheme="minorEastAsia" w:hAnsiTheme="minorEastAsia" w:eastAsiaTheme="minorEastAsia" w:cstheme="minorEastAsia"/>
          <w:sz w:val="24"/>
          <w:szCs w:val="24"/>
          <w:lang w:eastAsia="zh-CN"/>
        </w:rPr>
        <w:t>制定</w:t>
      </w:r>
      <w:r>
        <w:rPr>
          <w:rFonts w:hint="eastAsia" w:asciiTheme="minorEastAsia" w:hAnsiTheme="minorEastAsia" w:eastAsiaTheme="minorEastAsia" w:cstheme="minorEastAsia"/>
          <w:sz w:val="24"/>
          <w:szCs w:val="24"/>
        </w:rPr>
        <w:t>下发《吉林市城市生活垃圾</w:t>
      </w:r>
      <w:r>
        <w:rPr>
          <w:rFonts w:hint="eastAsia" w:asciiTheme="minorEastAsia" w:hAnsiTheme="minorEastAsia" w:eastAsiaTheme="minorEastAsia" w:cstheme="minorEastAsia"/>
          <w:sz w:val="24"/>
          <w:szCs w:val="24"/>
          <w:lang w:val="en-US" w:eastAsia="zh-CN"/>
        </w:rPr>
        <w:t>分类宣传周工作的通知》</w:t>
      </w:r>
      <w:r>
        <w:rPr>
          <w:rFonts w:hint="eastAsia" w:asciiTheme="minorEastAsia" w:hAnsiTheme="minorEastAsia" w:eastAsiaTheme="minorEastAsia" w:cstheme="minorEastAsia"/>
          <w:sz w:val="24"/>
          <w:szCs w:val="24"/>
        </w:rPr>
        <w:t>，充分利用</w:t>
      </w:r>
      <w:r>
        <w:rPr>
          <w:rFonts w:hint="eastAsia" w:asciiTheme="minorEastAsia" w:hAnsiTheme="minorEastAsia" w:eastAsiaTheme="minorEastAsia" w:cstheme="minorEastAsia"/>
          <w:sz w:val="24"/>
          <w:szCs w:val="24"/>
          <w:lang w:eastAsia="zh-CN"/>
        </w:rPr>
        <w:t>宣传周</w:t>
      </w:r>
      <w:r>
        <w:rPr>
          <w:rFonts w:hint="eastAsia" w:asciiTheme="minorEastAsia" w:hAnsiTheme="minorEastAsia" w:eastAsiaTheme="minorEastAsia" w:cstheme="minorEastAsia"/>
          <w:sz w:val="24"/>
          <w:szCs w:val="24"/>
        </w:rPr>
        <w:t>活动契机，组织开展</w:t>
      </w:r>
      <w:r>
        <w:rPr>
          <w:rFonts w:hint="eastAsia" w:asciiTheme="minorEastAsia" w:hAnsiTheme="minorEastAsia" w:eastAsiaTheme="minorEastAsia" w:cstheme="minorEastAsia"/>
          <w:sz w:val="24"/>
          <w:szCs w:val="24"/>
          <w:lang w:eastAsia="zh-CN"/>
        </w:rPr>
        <w:t>垃圾分类</w:t>
      </w:r>
      <w:r>
        <w:rPr>
          <w:rFonts w:hint="eastAsia" w:asciiTheme="minorEastAsia" w:hAnsiTheme="minorEastAsia" w:eastAsiaTheme="minorEastAsia" w:cstheme="minorEastAsia"/>
          <w:sz w:val="24"/>
          <w:szCs w:val="24"/>
        </w:rPr>
        <w:t>宣传教育活动，持续开展</w:t>
      </w:r>
      <w:r>
        <w:rPr>
          <w:rFonts w:hint="eastAsia" w:asciiTheme="minorEastAsia" w:hAnsiTheme="minorEastAsia" w:eastAsiaTheme="minorEastAsia" w:cstheme="minorEastAsia"/>
          <w:sz w:val="24"/>
          <w:szCs w:val="24"/>
          <w:lang w:val="en-US" w:eastAsia="zh-CN"/>
        </w:rPr>
        <w:t>进</w:t>
      </w:r>
      <w:r>
        <w:rPr>
          <w:rFonts w:hint="eastAsia" w:asciiTheme="minorEastAsia" w:hAnsiTheme="minorEastAsia" w:eastAsiaTheme="minorEastAsia" w:cstheme="minorEastAsia"/>
          <w:sz w:val="24"/>
          <w:szCs w:val="24"/>
        </w:rPr>
        <w:t>机关、进学校、进医院、进</w:t>
      </w:r>
      <w:r>
        <w:rPr>
          <w:rFonts w:hint="eastAsia" w:asciiTheme="minorEastAsia" w:hAnsiTheme="minorEastAsia" w:eastAsiaTheme="minorEastAsia" w:cstheme="minorEastAsia"/>
          <w:sz w:val="24"/>
          <w:szCs w:val="24"/>
          <w:lang w:val="en-US" w:eastAsia="zh-CN"/>
        </w:rPr>
        <w:t>社区</w:t>
      </w:r>
      <w:r>
        <w:rPr>
          <w:rFonts w:hint="eastAsia" w:asciiTheme="minorEastAsia" w:hAnsiTheme="minorEastAsia" w:eastAsiaTheme="minorEastAsia" w:cstheme="minorEastAsia"/>
          <w:sz w:val="24"/>
          <w:szCs w:val="24"/>
        </w:rPr>
        <w:t>、进家庭、进企业和“小手拉大手”等活动</w:t>
      </w:r>
      <w:r>
        <w:rPr>
          <w:rFonts w:hint="eastAsia" w:asciiTheme="minorEastAsia" w:hAnsiTheme="minorEastAsia" w:eastAsiaTheme="minorEastAsia" w:cstheme="minorEastAsia"/>
          <w:sz w:val="24"/>
          <w:szCs w:val="24"/>
          <w:lang w:eastAsia="zh-CN"/>
        </w:rPr>
        <w:t>。在活动周期间，</w:t>
      </w:r>
      <w:r>
        <w:rPr>
          <w:rFonts w:hint="eastAsia" w:asciiTheme="minorEastAsia" w:hAnsiTheme="minorEastAsia" w:eastAsiaTheme="minorEastAsia" w:cstheme="minorEastAsia"/>
          <w:sz w:val="24"/>
          <w:szCs w:val="24"/>
          <w:lang w:val="en-US" w:eastAsia="zh-CN"/>
        </w:rPr>
        <w:t>累计张贴宣传标语12幅、设立宣传板13块、分发宣传单5000余份，参加敲门行动213次，147个社区开展桶边指导，参与人次964人次，覆盖居民人数20873人。开展小手拉大手活动学校157个，开展活动24次，参与活动人数542人。</w:t>
      </w:r>
    </w:p>
    <w:p w14:paraId="390BF2A1">
      <w:pPr>
        <w:pStyle w:val="9"/>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jc w:val="both"/>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市城管局通过广泛发动、多方发力，多渠道、多角度进行宣传动员，联合市委宣传部印发《吉林市垃圾分类宣传工作实施方案》，将宣传教育作为生活垃圾分类工作重要内容，开展形式多样的生活垃圾分类宣传活动，引导全市关注和参与生活垃圾分类，提升居民对垃圾分类的认知，激发了大家参与垃圾分类的热情，让垃圾分类逐步融入居民群众的日常生活，成为引领低碳生活的新时尚。</w:t>
      </w:r>
    </w:p>
    <w:p w14:paraId="6AEE594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截止目前，各城区、开发区，市直相关单位累计</w:t>
      </w:r>
      <w:r>
        <w:rPr>
          <w:rFonts w:hint="eastAsia" w:asciiTheme="minorEastAsia" w:hAnsiTheme="minorEastAsia" w:eastAsiaTheme="minorEastAsia" w:cstheme="minorEastAsia"/>
          <w:sz w:val="24"/>
          <w:szCs w:val="24"/>
        </w:rPr>
        <w:t>下发宣传单</w:t>
      </w:r>
      <w:r>
        <w:rPr>
          <w:rFonts w:hint="eastAsia" w:asciiTheme="minorEastAsia" w:hAnsiTheme="minorEastAsia" w:eastAsiaTheme="minorEastAsia" w:cstheme="minorEastAsia"/>
          <w:sz w:val="24"/>
          <w:szCs w:val="24"/>
          <w:lang w:val="en-US" w:eastAsia="zh-CN"/>
        </w:rPr>
        <w:t>20.37</w:t>
      </w:r>
      <w:r>
        <w:rPr>
          <w:rFonts w:hint="eastAsia" w:asciiTheme="minorEastAsia" w:hAnsiTheme="minorEastAsia" w:eastAsiaTheme="minorEastAsia" w:cstheme="minorEastAsia"/>
          <w:sz w:val="24"/>
          <w:szCs w:val="24"/>
        </w:rPr>
        <w:t>万份，宣传手册</w:t>
      </w:r>
      <w:r>
        <w:rPr>
          <w:rFonts w:hint="eastAsia" w:asciiTheme="minorEastAsia" w:hAnsiTheme="minorEastAsia" w:eastAsiaTheme="minorEastAsia" w:cstheme="minorEastAsia"/>
          <w:sz w:val="24"/>
          <w:szCs w:val="24"/>
          <w:lang w:val="en-US" w:eastAsia="zh-CN"/>
        </w:rPr>
        <w:t>4.842</w:t>
      </w:r>
      <w:r>
        <w:rPr>
          <w:rFonts w:hint="eastAsia" w:asciiTheme="minorEastAsia" w:hAnsiTheme="minorEastAsia" w:eastAsiaTheme="minorEastAsia" w:cstheme="minorEastAsia"/>
          <w:sz w:val="24"/>
          <w:szCs w:val="24"/>
        </w:rPr>
        <w:t>万份，宣传条幅</w:t>
      </w:r>
      <w:r>
        <w:rPr>
          <w:rFonts w:hint="eastAsia" w:asciiTheme="minorEastAsia" w:hAnsiTheme="minorEastAsia" w:eastAsiaTheme="minorEastAsia" w:cstheme="minorEastAsia"/>
          <w:sz w:val="24"/>
          <w:szCs w:val="24"/>
          <w:lang w:val="en-US" w:eastAsia="zh-CN"/>
        </w:rPr>
        <w:t>642</w:t>
      </w:r>
      <w:r>
        <w:rPr>
          <w:rFonts w:hint="eastAsia" w:asciiTheme="minorEastAsia" w:hAnsiTheme="minorEastAsia" w:eastAsiaTheme="minorEastAsia" w:cstheme="minorEastAsia"/>
          <w:sz w:val="24"/>
          <w:szCs w:val="24"/>
        </w:rPr>
        <w:t>条、宣传板</w:t>
      </w:r>
      <w:r>
        <w:rPr>
          <w:rFonts w:hint="eastAsia" w:asciiTheme="minorEastAsia" w:hAnsiTheme="minorEastAsia" w:eastAsiaTheme="minorEastAsia" w:cstheme="minorEastAsia"/>
          <w:sz w:val="24"/>
          <w:szCs w:val="24"/>
          <w:lang w:val="en-US" w:eastAsia="zh-CN"/>
        </w:rPr>
        <w:t>1045</w:t>
      </w:r>
      <w:r>
        <w:rPr>
          <w:rFonts w:hint="eastAsia" w:asciiTheme="minorEastAsia" w:hAnsiTheme="minorEastAsia" w:eastAsiaTheme="minorEastAsia" w:cstheme="minorEastAsia"/>
          <w:sz w:val="24"/>
          <w:szCs w:val="24"/>
        </w:rPr>
        <w:t>个，利用LED屏幕宣传</w:t>
      </w:r>
      <w:r>
        <w:rPr>
          <w:rFonts w:hint="eastAsia" w:asciiTheme="minorEastAsia" w:hAnsiTheme="minorEastAsia" w:eastAsiaTheme="minorEastAsia" w:cstheme="minorEastAsia"/>
          <w:sz w:val="24"/>
          <w:szCs w:val="24"/>
          <w:lang w:val="en-US" w:eastAsia="zh-CN"/>
        </w:rPr>
        <w:t>1075</w:t>
      </w:r>
      <w:r>
        <w:rPr>
          <w:rFonts w:hint="eastAsia" w:asciiTheme="minorEastAsia" w:hAnsiTheme="minorEastAsia" w:eastAsiaTheme="minorEastAsia" w:cstheme="minorEastAsia"/>
          <w:sz w:val="24"/>
          <w:szCs w:val="24"/>
        </w:rPr>
        <w:t>处，居民业主微信群宣传</w:t>
      </w:r>
      <w:r>
        <w:rPr>
          <w:rFonts w:hint="eastAsia" w:asciiTheme="minorEastAsia" w:hAnsiTheme="minorEastAsia" w:eastAsiaTheme="minorEastAsia" w:cstheme="minorEastAsia"/>
          <w:sz w:val="24"/>
          <w:szCs w:val="24"/>
          <w:lang w:val="en-US" w:eastAsia="zh-CN"/>
        </w:rPr>
        <w:t>84217</w:t>
      </w:r>
      <w:r>
        <w:rPr>
          <w:rFonts w:hint="eastAsia" w:asciiTheme="minorEastAsia" w:hAnsiTheme="minorEastAsia" w:eastAsiaTheme="minorEastAsia" w:cstheme="minorEastAsia"/>
          <w:sz w:val="24"/>
          <w:szCs w:val="24"/>
        </w:rPr>
        <w:t>余条，微信公众号、微博宣传</w:t>
      </w:r>
      <w:r>
        <w:rPr>
          <w:rFonts w:hint="eastAsia" w:asciiTheme="minorEastAsia" w:hAnsiTheme="minorEastAsia" w:eastAsiaTheme="minorEastAsia" w:cstheme="minorEastAsia"/>
          <w:sz w:val="24"/>
          <w:szCs w:val="24"/>
          <w:lang w:val="en-US" w:eastAsia="zh-CN"/>
        </w:rPr>
        <w:t>315</w:t>
      </w:r>
      <w:r>
        <w:rPr>
          <w:rFonts w:hint="eastAsia" w:asciiTheme="minorEastAsia" w:hAnsiTheme="minorEastAsia" w:eastAsiaTheme="minorEastAsia" w:cstheme="minorEastAsia"/>
          <w:sz w:val="24"/>
          <w:szCs w:val="24"/>
        </w:rPr>
        <w:t>余次，致小区居民一封信</w:t>
      </w:r>
      <w:r>
        <w:rPr>
          <w:rFonts w:hint="eastAsia" w:asciiTheme="minorEastAsia" w:hAnsiTheme="minorEastAsia" w:eastAsiaTheme="minorEastAsia" w:cstheme="minorEastAsia"/>
          <w:sz w:val="24"/>
          <w:szCs w:val="24"/>
          <w:lang w:val="en-US" w:eastAsia="zh-CN"/>
        </w:rPr>
        <w:t>5700余</w:t>
      </w:r>
      <w:r>
        <w:rPr>
          <w:rFonts w:hint="eastAsia" w:asciiTheme="minorEastAsia" w:hAnsiTheme="minorEastAsia" w:eastAsiaTheme="minorEastAsia" w:cstheme="minorEastAsia"/>
          <w:sz w:val="24"/>
          <w:szCs w:val="24"/>
        </w:rPr>
        <w:t>份。</w:t>
      </w:r>
    </w:p>
    <w:p w14:paraId="4C8C29E0">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240" w:lineRule="auto"/>
        <w:jc w:val="both"/>
        <w:textAlignment w:val="auto"/>
        <w:rPr>
          <w:rFonts w:hint="eastAsia" w:asciiTheme="minorEastAsia" w:hAnsiTheme="minorEastAsia" w:eastAsiaTheme="minorEastAsia" w:cstheme="minorEastAsia"/>
          <w:b/>
          <w:bCs/>
          <w:kern w:val="0"/>
          <w:sz w:val="24"/>
          <w:szCs w:val="24"/>
          <w:lang w:val="en-US" w:eastAsia="zh-CN" w:bidi="ar-SA"/>
        </w:rPr>
      </w:pPr>
      <w:r>
        <w:rPr>
          <w:rFonts w:hint="eastAsia" w:asciiTheme="minorEastAsia" w:hAnsiTheme="minorEastAsia" w:eastAsiaTheme="minorEastAsia" w:cstheme="minorEastAsia"/>
          <w:b/>
          <w:bCs/>
          <w:kern w:val="0"/>
          <w:sz w:val="24"/>
          <w:szCs w:val="24"/>
          <w:lang w:val="en-US" w:eastAsia="zh-CN" w:bidi="ar-SA"/>
        </w:rPr>
        <w:t>二、关于建立健全垃圾分类制度的建议</w:t>
      </w:r>
    </w:p>
    <w:p w14:paraId="023CEA29">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2022年，按照国家、省相关要求，市城管局起草了《吉林市2022年生活垃圾分类工作实施方案》，7月1日，通过市政府常务会议审议后，印发各相关单位组织实施。成立了由市长任组长，27家相关单位主要领导为组员的吉林市城市生活垃圾分类工作领导小组，各相关单位设专人负责此项工作，形成工作合力。同时印发《吉林市城市生活垃圾分类实施细则》，明确责任分工，落实责任主体，细化工作流程，切实提升我市垃圾分类工作管理水平，改善人居环境。</w:t>
      </w:r>
    </w:p>
    <w:p w14:paraId="438EB1F6">
      <w:pPr>
        <w:pStyle w:val="8"/>
        <w:keepNext w:val="0"/>
        <w:keepLines w:val="0"/>
        <w:pageBreakBefore w:val="0"/>
        <w:widowControl/>
        <w:numPr>
          <w:ilvl w:val="0"/>
          <w:numId w:val="0"/>
        </w:numPr>
        <w:suppressLineNumbers w:val="0"/>
        <w:shd w:val="clear" w:color="auto" w:fill="FFFFFF"/>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eastAsia" w:asciiTheme="minorEastAsia" w:hAnsiTheme="minorEastAsia" w:eastAsiaTheme="minorEastAsia" w:cstheme="minorEastAsia"/>
          <w:kern w:val="0"/>
          <w:sz w:val="24"/>
          <w:szCs w:val="24"/>
          <w:lang w:val="en-US" w:eastAsia="zh-CN" w:bidi="ar-SA"/>
        </w:rPr>
      </w:pPr>
      <w:r>
        <w:rPr>
          <w:rFonts w:hint="eastAsia" w:asciiTheme="minorEastAsia" w:hAnsiTheme="minorEastAsia" w:eastAsiaTheme="minorEastAsia" w:cstheme="minorEastAsia"/>
          <w:sz w:val="24"/>
          <w:szCs w:val="24"/>
          <w:lang w:val="en-US" w:eastAsia="zh-CN"/>
        </w:rPr>
        <w:t>通过各相关部门的共同努力，我市</w:t>
      </w:r>
      <w:r>
        <w:rPr>
          <w:rFonts w:hint="eastAsia" w:asciiTheme="minorEastAsia" w:hAnsiTheme="minorEastAsia" w:eastAsiaTheme="minorEastAsia" w:cstheme="minorEastAsia"/>
          <w:bCs/>
          <w:kern w:val="2"/>
          <w:sz w:val="24"/>
          <w:szCs w:val="24"/>
          <w:highlight w:val="none"/>
          <w:lang w:val="en-US" w:eastAsia="zh-CN" w:bidi="ar-SA"/>
        </w:rPr>
        <w:t>初步形成了“城区、街道、社区、小区”全过程运行格局。</w:t>
      </w:r>
      <w:r>
        <w:rPr>
          <w:rFonts w:hint="eastAsia" w:asciiTheme="minorEastAsia" w:hAnsiTheme="minorEastAsia" w:eastAsiaTheme="minorEastAsia" w:cstheme="minorEastAsia"/>
          <w:sz w:val="24"/>
          <w:szCs w:val="24"/>
          <w:lang w:val="en-US" w:eastAsia="zh-CN"/>
        </w:rPr>
        <w:t>今年，</w:t>
      </w:r>
      <w:r>
        <w:rPr>
          <w:rFonts w:hint="eastAsia" w:asciiTheme="minorEastAsia" w:hAnsiTheme="minorEastAsia" w:eastAsiaTheme="minorEastAsia" w:cstheme="minorEastAsia"/>
          <w:sz w:val="24"/>
          <w:szCs w:val="24"/>
        </w:rPr>
        <w:t>为贯彻</w:t>
      </w:r>
      <w:r>
        <w:rPr>
          <w:rFonts w:hint="eastAsia" w:asciiTheme="minorEastAsia" w:hAnsiTheme="minorEastAsia" w:eastAsiaTheme="minorEastAsia" w:cstheme="minorEastAsia"/>
          <w:sz w:val="24"/>
          <w:szCs w:val="24"/>
          <w:lang w:eastAsia="zh-CN"/>
        </w:rPr>
        <w:t>落实中央</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关于</w:t>
      </w:r>
      <w:r>
        <w:rPr>
          <w:rFonts w:hint="eastAsia" w:asciiTheme="minorEastAsia" w:hAnsiTheme="minorEastAsia" w:eastAsiaTheme="minorEastAsia" w:cstheme="minorEastAsia"/>
          <w:sz w:val="24"/>
          <w:szCs w:val="24"/>
        </w:rPr>
        <w:t>进</w:t>
      </w:r>
      <w:r>
        <w:rPr>
          <w:rFonts w:hint="eastAsia" w:asciiTheme="minorEastAsia" w:hAnsiTheme="minorEastAsia" w:eastAsiaTheme="minorEastAsia" w:cstheme="minorEastAsia"/>
          <w:sz w:val="24"/>
          <w:szCs w:val="24"/>
          <w:lang w:eastAsia="zh-CN"/>
        </w:rPr>
        <w:t>一</w:t>
      </w:r>
      <w:r>
        <w:rPr>
          <w:rFonts w:hint="eastAsia" w:asciiTheme="minorEastAsia" w:hAnsiTheme="minorEastAsia" w:eastAsiaTheme="minorEastAsia" w:cstheme="minorEastAsia"/>
          <w:sz w:val="24"/>
          <w:szCs w:val="24"/>
        </w:rPr>
        <w:t>步推进生活垃圾分类工作的若干意见》以及我市相</w:t>
      </w:r>
      <w:r>
        <w:rPr>
          <w:rFonts w:hint="eastAsia" w:asciiTheme="minorEastAsia" w:hAnsiTheme="minorEastAsia" w:eastAsiaTheme="minorEastAsia" w:cstheme="minorEastAsia"/>
          <w:sz w:val="24"/>
          <w:szCs w:val="24"/>
          <w:lang w:eastAsia="zh-CN"/>
        </w:rPr>
        <w:t>关决策部署，</w:t>
      </w:r>
      <w:r>
        <w:rPr>
          <w:rFonts w:hint="eastAsia" w:asciiTheme="minorEastAsia" w:hAnsiTheme="minorEastAsia" w:eastAsiaTheme="minorEastAsia" w:cstheme="minorEastAsia"/>
          <w:sz w:val="24"/>
          <w:szCs w:val="24"/>
          <w:lang w:val="en-US" w:eastAsia="zh-CN"/>
        </w:rPr>
        <w:t>市分类办，各城区、开发区均出台了《2024年生活垃圾分类工作计划》，</w:t>
      </w:r>
      <w:r>
        <w:rPr>
          <w:rFonts w:hint="eastAsia" w:asciiTheme="minorEastAsia" w:hAnsiTheme="minorEastAsia" w:eastAsiaTheme="minorEastAsia" w:cstheme="minorEastAsia"/>
          <w:sz w:val="24"/>
          <w:szCs w:val="24"/>
          <w:lang w:eastAsia="zh-CN"/>
        </w:rPr>
        <w:t>下步，将根据《计划》加快推进我市居民小区、公共机构、学校、公共场所建设，进一步</w:t>
      </w:r>
      <w:r>
        <w:rPr>
          <w:rFonts w:hint="eastAsia" w:asciiTheme="minorEastAsia" w:hAnsiTheme="minorEastAsia" w:eastAsiaTheme="minorEastAsia" w:cstheme="minorEastAsia"/>
          <w:b w:val="0"/>
          <w:bCs w:val="0"/>
          <w:kern w:val="0"/>
          <w:sz w:val="24"/>
          <w:szCs w:val="24"/>
          <w:lang w:val="en-US" w:eastAsia="zh-CN" w:bidi="ar-SA"/>
        </w:rPr>
        <w:t>加快城市生活垃圾减量化、资源化、无害化进程。</w:t>
      </w:r>
    </w:p>
    <w:p w14:paraId="6E394CEF">
      <w:pPr>
        <w:pStyle w:val="9"/>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line="240" w:lineRule="auto"/>
        <w:jc w:val="both"/>
        <w:textAlignment w:val="auto"/>
        <w:rPr>
          <w:rFonts w:hint="eastAsia" w:asciiTheme="minorEastAsia" w:hAnsiTheme="minorEastAsia" w:eastAsiaTheme="minorEastAsia" w:cstheme="minorEastAsia"/>
          <w:b/>
          <w:bCs/>
          <w:kern w:val="0"/>
          <w:sz w:val="24"/>
          <w:szCs w:val="24"/>
          <w:lang w:val="en-US" w:eastAsia="zh-CN" w:bidi="ar-SA"/>
        </w:rPr>
      </w:pPr>
      <w:r>
        <w:rPr>
          <w:rFonts w:hint="eastAsia" w:asciiTheme="minorEastAsia" w:hAnsiTheme="minorEastAsia" w:eastAsiaTheme="minorEastAsia" w:cstheme="minorEastAsia"/>
          <w:b/>
          <w:bCs/>
          <w:kern w:val="0"/>
          <w:sz w:val="24"/>
          <w:szCs w:val="24"/>
          <w:lang w:val="en-US" w:eastAsia="zh-CN" w:bidi="ar-SA"/>
        </w:rPr>
        <w:t>三、关于加大资金投入，完善设施建设的建议</w:t>
      </w:r>
    </w:p>
    <w:p w14:paraId="59602068">
      <w:pPr>
        <w:keepNext w:val="0"/>
        <w:keepLines w:val="0"/>
        <w:pageBreakBefore w:val="0"/>
        <w:numPr>
          <w:ilvl w:val="0"/>
          <w:numId w:val="0"/>
        </w:numPr>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stheme="minorEastAsia"/>
          <w:kern w:val="0"/>
          <w:sz w:val="24"/>
          <w:szCs w:val="24"/>
          <w:lang w:val="en-US" w:eastAsia="zh-CN" w:bidi="ar-SA"/>
        </w:rPr>
      </w:pPr>
      <w:r>
        <w:rPr>
          <w:rFonts w:hint="eastAsia" w:asciiTheme="minorEastAsia" w:hAnsiTheme="minorEastAsia" w:eastAsiaTheme="minorEastAsia" w:cstheme="minorEastAsia"/>
          <w:kern w:val="0"/>
          <w:sz w:val="24"/>
          <w:szCs w:val="24"/>
          <w:lang w:val="en-US" w:eastAsia="zh-CN" w:bidi="ar-SA"/>
        </w:rPr>
        <w:t>目前，我市现有生活垃圾中转站60座，生活垃圾分类焚烧厂1座，生活垃圾填埋场1座，日处理能力2500吨；可回收物网点385个、分拣中心1座；果皮箱1939个；各类生活垃圾运输车辆238台，清运能力1904吨/日，满足生活垃圾运输需求，无害化处理率100%，回收利用率35%以上。</w:t>
      </w:r>
    </w:p>
    <w:p w14:paraId="723B15E8">
      <w:pPr>
        <w:pStyle w:val="8"/>
        <w:keepNext w:val="0"/>
        <w:keepLines w:val="0"/>
        <w:pageBreakBefore w:val="0"/>
        <w:widowControl/>
        <w:numPr>
          <w:ilvl w:val="0"/>
          <w:numId w:val="0"/>
        </w:numPr>
        <w:suppressLineNumbers w:val="0"/>
        <w:shd w:val="clear" w:color="auto" w:fill="FFFFFF"/>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kern w:val="0"/>
          <w:sz w:val="24"/>
          <w:szCs w:val="24"/>
          <w:lang w:val="en-US" w:eastAsia="zh-CN" w:bidi="ar-SA"/>
        </w:rPr>
        <w:t>为进一步完善生活垃圾分类处理体系，填补我市生活垃圾处理设施短板。目前，我局</w:t>
      </w:r>
      <w:r>
        <w:rPr>
          <w:rFonts w:hint="eastAsia" w:asciiTheme="minorEastAsia" w:hAnsiTheme="minorEastAsia" w:eastAsiaTheme="minorEastAsia" w:cstheme="minorEastAsia"/>
          <w:b w:val="0"/>
          <w:bCs w:val="0"/>
          <w:sz w:val="24"/>
          <w:szCs w:val="24"/>
          <w:lang w:val="en-US" w:eastAsia="zh-CN"/>
        </w:rPr>
        <w:t>正在积极谋划吉林市餐厨垃圾无害化处理项目，进一步健全生活垃圾处理终端，</w:t>
      </w:r>
      <w:r>
        <w:rPr>
          <w:rFonts w:hint="eastAsia" w:asciiTheme="minorEastAsia" w:hAnsiTheme="minorEastAsia" w:eastAsiaTheme="minorEastAsia" w:cstheme="minorEastAsia"/>
          <w:b w:val="0"/>
          <w:bCs w:val="0"/>
          <w:kern w:val="0"/>
          <w:sz w:val="24"/>
          <w:szCs w:val="24"/>
          <w:lang w:val="en-US" w:eastAsia="zh-CN" w:bidi="ar-SA"/>
        </w:rPr>
        <w:t>加快城市生活垃圾减量化、资源化、无害化进程，</w:t>
      </w:r>
      <w:r>
        <w:rPr>
          <w:rFonts w:hint="eastAsia" w:asciiTheme="minorEastAsia" w:hAnsiTheme="minorEastAsia" w:eastAsiaTheme="minorEastAsia" w:cstheme="minorEastAsia"/>
          <w:kern w:val="2"/>
          <w:sz w:val="24"/>
          <w:szCs w:val="24"/>
          <w:lang w:val="en-US" w:eastAsia="zh-CN" w:bidi="ar-SA"/>
        </w:rPr>
        <w:t>形成生活垃圾分类工作全链条“闭环”。</w:t>
      </w:r>
    </w:p>
    <w:p w14:paraId="6B88336F">
      <w:pPr>
        <w:pStyle w:val="8"/>
        <w:keepNext w:val="0"/>
        <w:keepLines w:val="0"/>
        <w:pageBreakBefore w:val="0"/>
        <w:widowControl/>
        <w:numPr>
          <w:ilvl w:val="0"/>
          <w:numId w:val="0"/>
        </w:numPr>
        <w:suppressLineNumbers w:val="0"/>
        <w:shd w:val="clear" w:color="auto" w:fill="FFFFFF"/>
        <w:kinsoku/>
        <w:wordWrap/>
        <w:overflowPunct/>
        <w:topLinePunct w:val="0"/>
        <w:autoSpaceDE/>
        <w:autoSpaceDN/>
        <w:bidi w:val="0"/>
        <w:adjustRightInd/>
        <w:snapToGrid/>
        <w:spacing w:before="0" w:beforeAutospacing="0" w:after="0" w:afterAutospacing="0" w:line="240" w:lineRule="auto"/>
        <w:ind w:right="0" w:rightChars="0"/>
        <w:jc w:val="both"/>
        <w:textAlignment w:val="auto"/>
        <w:rPr>
          <w:rFonts w:hint="eastAsia" w:asciiTheme="minorEastAsia" w:hAnsiTheme="minorEastAsia" w:eastAsiaTheme="minorEastAsia" w:cstheme="minorEastAsia"/>
          <w:kern w:val="0"/>
          <w:sz w:val="24"/>
          <w:szCs w:val="24"/>
          <w:lang w:val="en-US" w:eastAsia="zh-CN" w:bidi="ar-SA"/>
        </w:rPr>
      </w:pPr>
      <w:r>
        <w:rPr>
          <w:rFonts w:hint="eastAsia" w:asciiTheme="minorEastAsia" w:hAnsiTheme="minorEastAsia" w:eastAsiaTheme="minorEastAsia" w:cstheme="minorEastAsia"/>
          <w:kern w:val="2"/>
          <w:sz w:val="24"/>
          <w:szCs w:val="24"/>
          <w:lang w:val="en-US" w:eastAsia="zh-CN" w:bidi="ar-SA"/>
        </w:rPr>
        <w:t>同时，</w:t>
      </w:r>
      <w:r>
        <w:rPr>
          <w:rFonts w:hint="eastAsia" w:asciiTheme="minorEastAsia" w:hAnsiTheme="minorEastAsia" w:eastAsiaTheme="minorEastAsia" w:cstheme="minorEastAsia"/>
          <w:sz w:val="24"/>
          <w:szCs w:val="24"/>
          <w:lang w:val="en-US" w:eastAsia="zh-CN"/>
        </w:rPr>
        <w:t>我局已积极协调将生活垃圾分类资金纳入年度财政预算，设立生活垃圾分类专项资金，加大科研资金投入，引进专业人才，推动一体化协同发展，确保垃圾分类工作资金保障。同时，鼓励民营资本投资或市场化运营等方式多渠道筹措资金，以缓解政府资金压力。</w:t>
      </w:r>
    </w:p>
    <w:p w14:paraId="53B4E9B8">
      <w:pPr>
        <w:pStyle w:val="8"/>
        <w:keepNext w:val="0"/>
        <w:keepLines w:val="0"/>
        <w:pageBreakBefore w:val="0"/>
        <w:widowControl/>
        <w:numPr>
          <w:ilvl w:val="0"/>
          <w:numId w:val="0"/>
        </w:numPr>
        <w:suppressLineNumbers w:val="0"/>
        <w:shd w:val="clear" w:color="auto" w:fill="FFFFFF"/>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Theme="minorEastAsia" w:hAnsiTheme="minorEastAsia" w:eastAsiaTheme="minorEastAsia" w:cstheme="minorEastAsia"/>
          <w:b/>
          <w:bCs/>
          <w:kern w:val="0"/>
          <w:sz w:val="24"/>
          <w:szCs w:val="24"/>
          <w:highlight w:val="none"/>
          <w:lang w:val="en-US" w:eastAsia="zh-CN" w:bidi="ar-SA"/>
        </w:rPr>
      </w:pPr>
      <w:r>
        <w:rPr>
          <w:rFonts w:hint="eastAsia" w:asciiTheme="minorEastAsia" w:hAnsiTheme="minorEastAsia" w:eastAsiaTheme="minorEastAsia" w:cstheme="minorEastAsia"/>
          <w:b/>
          <w:bCs/>
          <w:kern w:val="0"/>
          <w:sz w:val="24"/>
          <w:szCs w:val="24"/>
          <w:highlight w:val="none"/>
          <w:lang w:val="en-US" w:eastAsia="zh-CN" w:bidi="ar-SA"/>
        </w:rPr>
        <w:t>四、关于加强管理和督导的建议</w:t>
      </w:r>
    </w:p>
    <w:p w14:paraId="3525C1C3">
      <w:pPr>
        <w:pStyle w:val="9"/>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40" w:lineRule="auto"/>
        <w:jc w:val="both"/>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 w:val="0"/>
          <w:bCs w:val="0"/>
          <w:kern w:val="0"/>
          <w:sz w:val="24"/>
          <w:szCs w:val="24"/>
          <w:highlight w:val="none"/>
          <w:lang w:val="en-US" w:eastAsia="zh-CN" w:bidi="ar"/>
        </w:rPr>
        <w:t>为进一步加强市民投放自觉性及准确率，市城管局编制了《生活垃圾分类指导手册》《生活垃圾分类指南》《致市民的一封信》，并组织各城区、开发区及市直相关单位开展志愿服务、桶边督导、垃圾分类宣讲、发放宣传单、入户宣传等活动，每月定期召开全市垃圾分类培训推进会</w:t>
      </w:r>
      <w:r>
        <w:rPr>
          <w:rFonts w:hint="eastAsia" w:asciiTheme="minorEastAsia" w:hAnsiTheme="minorEastAsia" w:eastAsiaTheme="minorEastAsia" w:cstheme="minorEastAsia"/>
          <w:sz w:val="24"/>
          <w:szCs w:val="24"/>
          <w:lang w:val="en-US" w:eastAsia="zh-CN"/>
        </w:rPr>
        <w:t>，培养一批生活垃圾分类工作的业务骨干和“明白人”，以点带面，有效推动垃圾分类工作。同时，结合《城市生活垃圾分类工作评估细则》，市城管局组建专职检查队伍，全市对城区、开发区及相关单位开展生活垃圾分类百分制考核，考评结果以月报形式定期上报市委市政府，并逐步开展“红黑榜”、“文明之星”等活动，助力我市垃圾分类工作有序开展。</w:t>
      </w:r>
    </w:p>
    <w:p w14:paraId="310F7FF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80" w:firstLineChars="200"/>
        <w:textAlignment w:val="auto"/>
        <w:rPr>
          <w:rFonts w:hint="eastAsia" w:asciiTheme="minorEastAsia" w:hAnsiTheme="minorEastAsia" w:eastAsiaTheme="minorEastAsia" w:cstheme="minorEastAsia"/>
          <w:i w:val="0"/>
          <w:caps w:val="0"/>
          <w:color w:val="000000"/>
          <w:spacing w:val="0"/>
          <w:kern w:val="0"/>
          <w:sz w:val="24"/>
          <w:szCs w:val="24"/>
          <w:lang w:val="en-US" w:eastAsia="zh-CN" w:bidi="ar"/>
        </w:rPr>
      </w:pPr>
      <w:r>
        <w:rPr>
          <w:rFonts w:hint="eastAsia" w:asciiTheme="minorEastAsia" w:hAnsiTheme="minorEastAsia" w:eastAsiaTheme="minorEastAsia" w:cstheme="minorEastAsia"/>
          <w:i w:val="0"/>
          <w:caps w:val="0"/>
          <w:color w:val="000000"/>
          <w:spacing w:val="0"/>
          <w:kern w:val="0"/>
          <w:sz w:val="24"/>
          <w:szCs w:val="24"/>
          <w:lang w:val="en-US" w:eastAsia="zh-CN" w:bidi="ar"/>
        </w:rPr>
        <w:t>（</w:t>
      </w:r>
      <w:r>
        <w:rPr>
          <w:rFonts w:hint="eastAsia" w:asciiTheme="minorEastAsia" w:hAnsiTheme="minorEastAsia" w:eastAsiaTheme="minorEastAsia" w:cstheme="minorEastAsia"/>
          <w:sz w:val="24"/>
          <w:szCs w:val="24"/>
        </w:rPr>
        <w:t>联系人：</w:t>
      </w:r>
      <w:r>
        <w:rPr>
          <w:rFonts w:hint="eastAsia" w:asciiTheme="minorEastAsia" w:hAnsiTheme="minorEastAsia" w:eastAsiaTheme="minorEastAsia" w:cstheme="minorEastAsia"/>
          <w:i w:val="0"/>
          <w:caps w:val="0"/>
          <w:color w:val="000000"/>
          <w:spacing w:val="0"/>
          <w:kern w:val="0"/>
          <w:sz w:val="24"/>
          <w:szCs w:val="24"/>
          <w:lang w:val="en-US" w:eastAsia="zh-CN" w:bidi="ar"/>
        </w:rPr>
        <w:t>陆永丰  ）</w:t>
      </w:r>
    </w:p>
    <w:p w14:paraId="724819D7">
      <w:pPr>
        <w:pStyle w:val="2"/>
        <w:rPr>
          <w:rFonts w:hint="eastAsia" w:asciiTheme="minorEastAsia" w:hAnsiTheme="minorEastAsia" w:eastAsiaTheme="minorEastAsia" w:cstheme="minorEastAsia"/>
          <w:i w:val="0"/>
          <w:caps w:val="0"/>
          <w:color w:val="000000"/>
          <w:spacing w:val="0"/>
          <w:kern w:val="0"/>
          <w:sz w:val="24"/>
          <w:szCs w:val="24"/>
          <w:lang w:val="en-US" w:eastAsia="zh-CN" w:bidi="ar"/>
        </w:rPr>
      </w:pPr>
    </w:p>
    <w:p w14:paraId="4851C59C">
      <w:pPr>
        <w:rPr>
          <w:rFonts w:hint="eastAsia" w:asciiTheme="minorEastAsia" w:hAnsiTheme="minorEastAsia" w:eastAsiaTheme="minorEastAsia" w:cstheme="minorEastAsia"/>
          <w:sz w:val="24"/>
          <w:szCs w:val="24"/>
          <w:lang w:val="en-US" w:eastAsia="zh-CN"/>
        </w:rPr>
      </w:pPr>
    </w:p>
    <w:p w14:paraId="17C72373">
      <w:pPr>
        <w:pStyle w:val="11"/>
        <w:keepNext w:val="0"/>
        <w:keepLines w:val="0"/>
        <w:pageBreakBefore w:val="0"/>
        <w:numPr>
          <w:ilvl w:val="0"/>
          <w:numId w:val="0"/>
        </w:numPr>
        <w:kinsoku/>
        <w:wordWrap/>
        <w:overflowPunct/>
        <w:topLinePunct w:val="0"/>
        <w:autoSpaceDE/>
        <w:autoSpaceDN/>
        <w:bidi w:val="0"/>
        <w:adjustRightInd/>
        <w:snapToGrid/>
        <w:spacing w:line="620" w:lineRule="exact"/>
        <w:jc w:val="left"/>
        <w:textAlignment w:val="auto"/>
        <w:rPr>
          <w:rFonts w:hint="eastAsia"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auto"/>
          <w:sz w:val="24"/>
          <w:szCs w:val="24"/>
          <w:lang w:val="en-US" w:eastAsia="zh-CN"/>
        </w:rPr>
        <w:t>吉林市城市管理局</w:t>
      </w:r>
      <w:r>
        <w:rPr>
          <w:rFonts w:hint="eastAsia" w:asciiTheme="minorEastAsia" w:hAnsiTheme="minorEastAsia" w:eastAsiaTheme="minorEastAsia" w:cstheme="minorEastAsia"/>
          <w:color w:val="000000"/>
          <w:sz w:val="24"/>
          <w:szCs w:val="24"/>
          <w:lang w:eastAsia="zh-CN"/>
        </w:rPr>
        <w:t>2024年7月22日</w:t>
      </w:r>
    </w:p>
    <w:p w14:paraId="144BA68B">
      <w:pPr>
        <w:pStyle w:val="2"/>
        <w:rPr>
          <w:rFonts w:hint="eastAsia" w:asciiTheme="minorEastAsia" w:hAnsiTheme="minorEastAsia" w:eastAsiaTheme="minorEastAsia" w:cstheme="minorEastAsia"/>
          <w:sz w:val="24"/>
          <w:szCs w:val="24"/>
          <w:lang w:eastAsia="zh-CN"/>
        </w:rPr>
      </w:pPr>
    </w:p>
    <w:p w14:paraId="7B8A99B6">
      <w:pPr>
        <w:pStyle w:val="2"/>
        <w:rPr>
          <w:rFonts w:hint="eastAsia" w:asciiTheme="minorEastAsia" w:hAnsiTheme="minorEastAsia" w:eastAsiaTheme="minorEastAsia" w:cstheme="minorEastAsia"/>
          <w:color w:val="000000"/>
          <w:sz w:val="24"/>
          <w:szCs w:val="24"/>
          <w:lang w:eastAsia="zh-CN"/>
        </w:rPr>
      </w:pPr>
    </w:p>
    <w:p w14:paraId="3E405B7B">
      <w:pPr>
        <w:rPr>
          <w:rFonts w:hint="eastAsia" w:asciiTheme="minorEastAsia" w:hAnsiTheme="minorEastAsia" w:eastAsiaTheme="minorEastAsia" w:cstheme="minorEastAsia"/>
          <w:color w:val="000000"/>
          <w:sz w:val="24"/>
          <w:szCs w:val="24"/>
          <w:lang w:eastAsia="zh-CN"/>
        </w:rPr>
      </w:pPr>
      <w:bookmarkStart w:id="0" w:name="_GoBack"/>
      <w:bookmarkEnd w:id="0"/>
    </w:p>
    <w:p w14:paraId="37B4EB8F">
      <w:pPr>
        <w:pStyle w:val="2"/>
        <w:rPr>
          <w:rFonts w:hint="eastAsia" w:asciiTheme="minorEastAsia" w:hAnsiTheme="minorEastAsia" w:eastAsiaTheme="minorEastAsia" w:cstheme="minorEastAsia"/>
          <w:color w:val="000000"/>
          <w:sz w:val="24"/>
          <w:szCs w:val="24"/>
          <w:lang w:eastAsia="zh-CN"/>
        </w:rPr>
      </w:pPr>
    </w:p>
    <w:p w14:paraId="5A473498">
      <w:pPr>
        <w:rPr>
          <w:rFonts w:hint="eastAsia" w:asciiTheme="minorEastAsia" w:hAnsiTheme="minorEastAsia" w:eastAsiaTheme="minorEastAsia" w:cstheme="minorEastAsia"/>
          <w:color w:val="000000"/>
          <w:sz w:val="24"/>
          <w:szCs w:val="24"/>
          <w:lang w:eastAsia="zh-CN"/>
        </w:rPr>
      </w:pPr>
    </w:p>
    <w:p w14:paraId="63B886B6">
      <w:pPr>
        <w:rPr>
          <w:rFonts w:hint="eastAsia" w:asciiTheme="minorEastAsia" w:hAnsiTheme="minorEastAsia" w:eastAsiaTheme="minorEastAsia" w:cstheme="minorEastAsia"/>
          <w:sz w:val="24"/>
          <w:szCs w:val="24"/>
          <w:lang w:val="en-US" w:eastAsia="zh-CN"/>
        </w:rPr>
      </w:pPr>
    </w:p>
    <w:p w14:paraId="6764CADE">
      <w:pPr>
        <w:keepNext w:val="0"/>
        <w:keepLines w:val="0"/>
        <w:pageBreakBefore w:val="0"/>
        <w:kinsoku/>
        <w:overflowPunct/>
        <w:topLinePunct w:val="0"/>
        <w:autoSpaceDE/>
        <w:autoSpaceDN/>
        <w:bidi w:val="0"/>
        <w:spacing w:line="600" w:lineRule="exact"/>
        <w:ind w:right="26"/>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rPr>
        <w:pict>
          <v:line id="_x0000_s1027" o:spid="_x0000_s1027" o:spt="20" style="position:absolute;left:0pt;margin-left:0pt;margin-top:3pt;height:0pt;width:414pt;z-index:251660288;mso-width-relative:page;mso-height-relative:page;" coordsize="21600,21600">
            <v:path arrowok="t"/>
            <v:fill focussize="0,0"/>
            <v:stroke weight="1.25pt"/>
            <v:imagedata o:title=""/>
            <o:lock v:ext="edit"/>
          </v:line>
        </w:pict>
      </w:r>
      <w:r>
        <w:rPr>
          <w:rFonts w:hint="eastAsia" w:asciiTheme="minorEastAsia" w:hAnsiTheme="minorEastAsia" w:eastAsiaTheme="minorEastAsia" w:cstheme="minorEastAsia"/>
          <w:color w:val="000000"/>
          <w:sz w:val="24"/>
          <w:szCs w:val="24"/>
        </w:rPr>
        <w:pict>
          <v:line id="_x0000_s1026" o:spid="_x0000_s1026" o:spt="20" style="position:absolute;left:0pt;margin-left:0pt;margin-top:27.9pt;height:0pt;width:414pt;z-index:251659264;mso-width-relative:page;mso-height-relative:page;" coordsize="21600,21600">
            <v:path arrowok="t"/>
            <v:fill focussize="0,0"/>
            <v:stroke weight="1.25pt"/>
            <v:imagedata o:title=""/>
            <o:lock v:ext="edit"/>
          </v:line>
        </w:pict>
      </w:r>
      <w:r>
        <w:rPr>
          <w:rFonts w:hint="eastAsia" w:asciiTheme="minorEastAsia" w:hAnsiTheme="minorEastAsia" w:eastAsiaTheme="minorEastAsia" w:cstheme="minorEastAsia"/>
          <w:color w:val="000000"/>
          <w:sz w:val="24"/>
          <w:szCs w:val="24"/>
        </w:rPr>
        <w:t xml:space="preserve">吉林市城市管理局办公室 </w:t>
      </w:r>
      <w:r>
        <w:rPr>
          <w:rFonts w:hint="eastAsia" w:asciiTheme="minorEastAsia" w:hAnsiTheme="minorEastAsia" w:eastAsiaTheme="minorEastAsia" w:cstheme="minorEastAsia"/>
          <w:color w:val="000000"/>
          <w:sz w:val="24"/>
          <w:szCs w:val="24"/>
          <w:lang w:val="en-US" w:eastAsia="zh-CN"/>
        </w:rPr>
        <w:t xml:space="preserve">          </w:t>
      </w:r>
      <w:r>
        <w:rPr>
          <w:rFonts w:hint="eastAsia" w:asciiTheme="minorEastAsia" w:hAnsiTheme="minorEastAsia" w:eastAsiaTheme="minorEastAsia" w:cstheme="minorEastAsia"/>
          <w:color w:val="000000"/>
          <w:sz w:val="24"/>
          <w:szCs w:val="24"/>
        </w:rPr>
        <w:t xml:space="preserve"> 20</w:t>
      </w:r>
      <w:r>
        <w:rPr>
          <w:rFonts w:hint="eastAsia" w:asciiTheme="minorEastAsia" w:hAnsiTheme="minorEastAsia" w:eastAsiaTheme="minorEastAsia" w:cstheme="minorEastAsia"/>
          <w:color w:val="000000"/>
          <w:sz w:val="24"/>
          <w:szCs w:val="24"/>
          <w:lang w:val="en-US" w:eastAsia="zh-CN"/>
        </w:rPr>
        <w:t>24</w:t>
      </w:r>
      <w:r>
        <w:rPr>
          <w:rFonts w:hint="eastAsia" w:asciiTheme="minorEastAsia" w:hAnsiTheme="minorEastAsia" w:eastAsiaTheme="minorEastAsia" w:cstheme="minorEastAsia"/>
          <w:color w:val="000000"/>
          <w:sz w:val="24"/>
          <w:szCs w:val="24"/>
        </w:rPr>
        <w:t>年</w:t>
      </w:r>
      <w:r>
        <w:rPr>
          <w:rFonts w:hint="eastAsia" w:asciiTheme="minorEastAsia" w:hAnsiTheme="minorEastAsia" w:eastAsiaTheme="minorEastAsia" w:cstheme="minorEastAsia"/>
          <w:color w:val="000000"/>
          <w:sz w:val="24"/>
          <w:szCs w:val="24"/>
          <w:lang w:val="en-US" w:eastAsia="zh-CN"/>
        </w:rPr>
        <w:t>7</w:t>
      </w:r>
      <w:r>
        <w:rPr>
          <w:rFonts w:hint="eastAsia" w:asciiTheme="minorEastAsia" w:hAnsiTheme="minorEastAsia" w:eastAsiaTheme="minorEastAsia" w:cstheme="minorEastAsia"/>
          <w:color w:val="000000"/>
          <w:sz w:val="24"/>
          <w:szCs w:val="24"/>
        </w:rPr>
        <w:t>月</w:t>
      </w:r>
      <w:r>
        <w:rPr>
          <w:rFonts w:hint="eastAsia" w:asciiTheme="minorEastAsia" w:hAnsiTheme="minorEastAsia" w:eastAsiaTheme="minorEastAsia" w:cstheme="minorEastAsia"/>
          <w:color w:val="000000"/>
          <w:sz w:val="24"/>
          <w:szCs w:val="24"/>
          <w:lang w:val="en-US" w:eastAsia="zh-CN"/>
        </w:rPr>
        <w:t>22</w:t>
      </w:r>
      <w:r>
        <w:rPr>
          <w:rFonts w:hint="eastAsia" w:asciiTheme="minorEastAsia" w:hAnsiTheme="minorEastAsia" w:eastAsiaTheme="minorEastAsia" w:cstheme="minorEastAsia"/>
          <w:color w:val="000000"/>
          <w:sz w:val="24"/>
          <w:szCs w:val="24"/>
        </w:rPr>
        <w:t>日印发</w:t>
      </w:r>
    </w:p>
    <w:sectPr>
      <w:headerReference r:id="rId5" w:type="default"/>
      <w:footerReference r:id="rId6" w:type="default"/>
      <w:footerReference r:id="rId7"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C66044">
    <w:pPr>
      <w:pStyle w:val="6"/>
      <w:framePr w:wrap="around" w:vAnchor="text" w:hAnchor="margin" w:xAlign="center" w:y="1"/>
      <w:rPr>
        <w:rStyle w:val="14"/>
      </w:rPr>
    </w:pPr>
    <w:r>
      <w:rPr>
        <w:rStyle w:val="14"/>
      </w:rPr>
      <w:fldChar w:fldCharType="begin"/>
    </w:r>
    <w:r>
      <w:rPr>
        <w:rStyle w:val="14"/>
      </w:rPr>
      <w:instrText xml:space="preserve">PAGE  </w:instrText>
    </w:r>
    <w:r>
      <w:rPr>
        <w:rStyle w:val="14"/>
      </w:rPr>
      <w:fldChar w:fldCharType="separate"/>
    </w:r>
    <w:r>
      <w:rPr>
        <w:rStyle w:val="14"/>
      </w:rPr>
      <w:t>2</w:t>
    </w:r>
    <w:r>
      <w:rPr>
        <w:rStyle w:val="14"/>
      </w:rPr>
      <w:fldChar w:fldCharType="end"/>
    </w:r>
  </w:p>
  <w:p w14:paraId="4F6DD7F6">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60C6AB">
    <w:pPr>
      <w:pStyle w:val="6"/>
      <w:framePr w:wrap="around" w:vAnchor="text" w:hAnchor="margin" w:xAlign="center" w:y="1"/>
      <w:rPr>
        <w:rStyle w:val="14"/>
      </w:rPr>
    </w:pPr>
    <w:r>
      <w:rPr>
        <w:rStyle w:val="14"/>
      </w:rPr>
      <w:fldChar w:fldCharType="begin"/>
    </w:r>
    <w:r>
      <w:rPr>
        <w:rStyle w:val="14"/>
      </w:rPr>
      <w:instrText xml:space="preserve">PAGE  </w:instrText>
    </w:r>
    <w:r>
      <w:rPr>
        <w:rStyle w:val="14"/>
      </w:rPr>
      <w:fldChar w:fldCharType="end"/>
    </w:r>
  </w:p>
  <w:p w14:paraId="47E94FB4">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31474E">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docVars>
    <w:docVar w:name="commondata" w:val="eyJoZGlkIjoiMGVjMzI1ZmJkMmI3YjBkMTI0YmNjZTY3MTkzNzZlMWIifQ=="/>
  </w:docVars>
  <w:rsids>
    <w:rsidRoot w:val="00D31D50"/>
    <w:rsid w:val="00277446"/>
    <w:rsid w:val="00323B43"/>
    <w:rsid w:val="003D37D8"/>
    <w:rsid w:val="00426133"/>
    <w:rsid w:val="004358AB"/>
    <w:rsid w:val="00656E5C"/>
    <w:rsid w:val="008B7726"/>
    <w:rsid w:val="008B7A0C"/>
    <w:rsid w:val="00995132"/>
    <w:rsid w:val="00D31D50"/>
    <w:rsid w:val="00E31148"/>
    <w:rsid w:val="00EF3F62"/>
    <w:rsid w:val="0EDD29F7"/>
    <w:rsid w:val="114E55E0"/>
    <w:rsid w:val="2A7444C6"/>
    <w:rsid w:val="2ADE859B"/>
    <w:rsid w:val="3B8D1640"/>
    <w:rsid w:val="3F7E9DF5"/>
    <w:rsid w:val="57563F6C"/>
    <w:rsid w:val="57DBF6BE"/>
    <w:rsid w:val="5EFBEC09"/>
    <w:rsid w:val="6A0924DC"/>
    <w:rsid w:val="6D9FDCAD"/>
    <w:rsid w:val="6DEFABF8"/>
    <w:rsid w:val="74CC35E6"/>
    <w:rsid w:val="7AFB7C9B"/>
    <w:rsid w:val="7BDB3300"/>
    <w:rsid w:val="7CBF19ED"/>
    <w:rsid w:val="7CE7F8E7"/>
    <w:rsid w:val="7EC7B942"/>
    <w:rsid w:val="7F6FAAA0"/>
    <w:rsid w:val="7FDBB673"/>
    <w:rsid w:val="7FF56CBF"/>
    <w:rsid w:val="8DFDDFDE"/>
    <w:rsid w:val="AFF68C1C"/>
    <w:rsid w:val="BEF5EB5C"/>
    <w:rsid w:val="E8E32346"/>
    <w:rsid w:val="EDFA1860"/>
    <w:rsid w:val="EFBF7824"/>
    <w:rsid w:val="EFD73D32"/>
    <w:rsid w:val="EFFFEED1"/>
    <w:rsid w:val="F33F2D99"/>
    <w:rsid w:val="FB7F5EA0"/>
    <w:rsid w:val="FD5B0B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customStyle="1" w:styleId="2">
    <w:name w:val="正文-公1"/>
    <w:next w:val="1"/>
    <w:qFormat/>
    <w:uiPriority w:val="99"/>
    <w:pPr>
      <w:widowControl w:val="0"/>
      <w:ind w:firstLine="200" w:firstLineChars="200"/>
      <w:jc w:val="both"/>
    </w:pPr>
    <w:rPr>
      <w:rFonts w:ascii="Times New Roman" w:hAnsi="Times New Roman" w:eastAsia="宋体" w:cs="Times New Roman"/>
      <w:kern w:val="2"/>
      <w:sz w:val="21"/>
      <w:szCs w:val="24"/>
      <w:lang w:val="en-US" w:eastAsia="zh-CN" w:bidi="ar-SA"/>
    </w:rPr>
  </w:style>
  <w:style w:type="paragraph" w:styleId="3">
    <w:name w:val="Body Text"/>
    <w:basedOn w:val="1"/>
    <w:next w:val="4"/>
    <w:qFormat/>
    <w:uiPriority w:val="0"/>
    <w:pPr>
      <w:jc w:val="center"/>
    </w:pPr>
    <w:rPr>
      <w:sz w:val="44"/>
      <w:szCs w:val="20"/>
    </w:rPr>
  </w:style>
  <w:style w:type="paragraph" w:styleId="4">
    <w:name w:val="Date"/>
    <w:basedOn w:val="1"/>
    <w:next w:val="1"/>
    <w:qFormat/>
    <w:uiPriority w:val="0"/>
    <w:pPr>
      <w:ind w:left="100" w:leftChars="2500"/>
    </w:pPr>
    <w:rPr>
      <w:rFonts w:ascii="仿宋_GB2312" w:eastAsia="仿宋_GB2312"/>
      <w:sz w:val="32"/>
    </w:rPr>
  </w:style>
  <w:style w:type="paragraph" w:styleId="5">
    <w:name w:val="Body Text Indent 2"/>
    <w:basedOn w:val="1"/>
    <w:qFormat/>
    <w:uiPriority w:val="0"/>
    <w:pPr>
      <w:spacing w:after="120" w:afterLines="0" w:line="480" w:lineRule="auto"/>
      <w:ind w:left="420" w:leftChars="200"/>
    </w:pPr>
  </w:style>
  <w:style w:type="paragraph" w:styleId="6">
    <w:name w:val="footer"/>
    <w:basedOn w:val="1"/>
    <w:link w:val="20"/>
    <w:unhideWhenUsed/>
    <w:qFormat/>
    <w:uiPriority w:val="0"/>
    <w:pPr>
      <w:tabs>
        <w:tab w:val="center" w:pos="4153"/>
        <w:tab w:val="right" w:pos="8306"/>
      </w:tabs>
    </w:pPr>
    <w:rPr>
      <w:sz w:val="18"/>
      <w:szCs w:val="18"/>
    </w:rPr>
  </w:style>
  <w:style w:type="paragraph" w:styleId="7">
    <w:name w:val="header"/>
    <w:basedOn w:val="1"/>
    <w:link w:val="19"/>
    <w:unhideWhenUsed/>
    <w:qFormat/>
    <w:uiPriority w:val="0"/>
    <w:pPr>
      <w:pBdr>
        <w:bottom w:val="single" w:color="auto" w:sz="6" w:space="1"/>
      </w:pBdr>
      <w:tabs>
        <w:tab w:val="center" w:pos="4153"/>
        <w:tab w:val="right" w:pos="8306"/>
      </w:tabs>
      <w:jc w:val="center"/>
    </w:pPr>
    <w:rPr>
      <w:sz w:val="18"/>
      <w:szCs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9">
    <w:name w:val="Normal (Web)"/>
    <w:basedOn w:val="1"/>
    <w:qFormat/>
    <w:uiPriority w:val="0"/>
    <w:pPr>
      <w:spacing w:beforeAutospacing="1" w:afterAutospacing="1"/>
      <w:jc w:val="left"/>
    </w:pPr>
    <w:rPr>
      <w:kern w:val="0"/>
      <w:sz w:val="24"/>
    </w:rPr>
  </w:style>
  <w:style w:type="paragraph" w:styleId="10">
    <w:name w:val="Title"/>
    <w:basedOn w:val="1"/>
    <w:next w:val="1"/>
    <w:qFormat/>
    <w:uiPriority w:val="99"/>
    <w:pPr>
      <w:spacing w:before="240" w:after="60"/>
      <w:jc w:val="center"/>
      <w:outlineLvl w:val="0"/>
    </w:pPr>
    <w:rPr>
      <w:rFonts w:ascii="Arial" w:hAnsi="Arial" w:cs="Arial"/>
      <w:b/>
      <w:bCs/>
      <w:sz w:val="32"/>
      <w:szCs w:val="32"/>
    </w:rPr>
  </w:style>
  <w:style w:type="paragraph" w:styleId="11">
    <w:name w:val="Body Text First Indent"/>
    <w:basedOn w:val="3"/>
    <w:qFormat/>
    <w:uiPriority w:val="0"/>
    <w:pPr>
      <w:spacing w:line="500" w:lineRule="exact"/>
      <w:ind w:firstLine="420"/>
    </w:pPr>
    <w:rPr>
      <w:rFonts w:ascii="Times New Roman" w:hAnsi="Times New Roman" w:cs="Times New Roman"/>
      <w:sz w:val="28"/>
    </w:rPr>
  </w:style>
  <w:style w:type="character" w:styleId="14">
    <w:name w:val="page number"/>
    <w:basedOn w:val="13"/>
    <w:qFormat/>
    <w:uiPriority w:val="0"/>
  </w:style>
  <w:style w:type="paragraph" w:customStyle="1" w:styleId="15">
    <w:name w:val="Body Text First Indent 2_66da080b-4c73-499b-b937-6835f93847c4"/>
    <w:basedOn w:val="16"/>
    <w:qFormat/>
    <w:uiPriority w:val="0"/>
    <w:pPr>
      <w:spacing w:after="0"/>
      <w:ind w:firstLine="420" w:firstLineChars="200"/>
    </w:pPr>
    <w:rPr>
      <w:rFonts w:ascii="Calibri" w:hAnsi="Calibri" w:eastAsia="宋体" w:cs="Times New Roman"/>
    </w:rPr>
  </w:style>
  <w:style w:type="paragraph" w:customStyle="1" w:styleId="16">
    <w:name w:val="Body Text Indent_a628f2f0-5129-4d8c-ab9b-902d373ef721"/>
    <w:basedOn w:val="1"/>
    <w:next w:val="17"/>
    <w:qFormat/>
    <w:uiPriority w:val="0"/>
    <w:pPr>
      <w:spacing w:after="120"/>
      <w:ind w:left="420" w:leftChars="200"/>
    </w:pPr>
    <w:rPr>
      <w:rFonts w:ascii="Calibri" w:hAnsi="Calibri" w:eastAsia="宋体" w:cs="Times New Roman"/>
      <w:sz w:val="21"/>
    </w:rPr>
  </w:style>
  <w:style w:type="paragraph" w:customStyle="1" w:styleId="17">
    <w:name w:val="Normal Indent_e1594b1f-c861-4483-b889-f8d5613974da"/>
    <w:basedOn w:val="1"/>
    <w:qFormat/>
    <w:uiPriority w:val="0"/>
    <w:pPr>
      <w:ind w:firstLine="420" w:firstLineChars="200"/>
    </w:pPr>
    <w:rPr>
      <w:rFonts w:ascii="Calibri" w:hAnsi="Calibri" w:eastAsia="仿宋" w:cs="Times New Roman"/>
      <w:sz w:val="32"/>
    </w:rPr>
  </w:style>
  <w:style w:type="paragraph" w:customStyle="1" w:styleId="18">
    <w:name w:val="Default"/>
    <w:qFormat/>
    <w:uiPriority w:val="0"/>
    <w:pPr>
      <w:widowControl w:val="0"/>
      <w:autoSpaceDE w:val="0"/>
      <w:autoSpaceDN w:val="0"/>
      <w:adjustRightInd w:val="0"/>
    </w:pPr>
    <w:rPr>
      <w:rFonts w:ascii="Times New Roman" w:hAnsi="Times New Roman" w:eastAsia="宋体" w:cs="Times New Roman"/>
      <w:color w:val="000000"/>
      <w:sz w:val="24"/>
      <w:szCs w:val="22"/>
      <w:lang w:val="en-US" w:eastAsia="zh-CN" w:bidi="ar-SA"/>
    </w:rPr>
  </w:style>
  <w:style w:type="character" w:customStyle="1" w:styleId="19">
    <w:name w:val="页眉 Char"/>
    <w:basedOn w:val="13"/>
    <w:link w:val="7"/>
    <w:qFormat/>
    <w:uiPriority w:val="0"/>
    <w:rPr>
      <w:rFonts w:ascii="Tahoma" w:hAnsi="Tahoma"/>
      <w:sz w:val="18"/>
      <w:szCs w:val="18"/>
    </w:rPr>
  </w:style>
  <w:style w:type="character" w:customStyle="1" w:styleId="20">
    <w:name w:val="页脚 Char"/>
    <w:basedOn w:val="13"/>
    <w:link w:val="6"/>
    <w:qFormat/>
    <w:uiPriority w:val="0"/>
    <w:rPr>
      <w:rFonts w:ascii="Tahoma" w:hAnsi="Tahoma"/>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1729</Words>
  <Characters>1828</Characters>
  <Lines>4</Lines>
  <Paragraphs>1</Paragraphs>
  <TotalTime>3</TotalTime>
  <ScaleCrop>false</ScaleCrop>
  <LinksUpToDate>false</LinksUpToDate>
  <CharactersWithSpaces>1874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2008-09-20T01:20:00Z</dcterms:created>
  <dc:creator>Administrator</dc:creator>
  <cp:lastModifiedBy>liying</cp:lastModifiedBy>
  <cp:lastPrinted>2023-12-20T21:55:00Z</cp:lastPrinted>
  <dcterms:modified xsi:type="dcterms:W3CDTF">2024-11-04T06:23:58Z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1606CE476BFC4F20A483F04212C9C300</vt:lpwstr>
  </property>
</Properties>
</file>